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DNOW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2854325</wp:posOffset>
            </wp:positionH>
            <wp:positionV relativeFrom="paragraph">
              <wp:posOffset>158750</wp:posOffset>
            </wp:positionV>
            <wp:extent cx="1285875" cy="368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2862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8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DNOW INC.</w:t>
      </w:r>
    </w:p>
    <w:p>
      <w:pPr>
        <w:ind w:left="108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7402 NORTH ELDRIDGE PARKWAY</w:t>
      </w: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HOUSTON, TX 77041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V92710-P48376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96520</wp:posOffset>
            </wp:positionV>
            <wp:extent cx="1071245" cy="68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8"/>
        </w:rPr>
        <w:t>You invested in DNOW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 w:right="10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This is an important notice regarding the availability</w:t>
      </w:r>
      <w:r>
        <w:rPr>
          <w:rFonts w:ascii="Arial" w:cs="Arial" w:eastAsia="Arial" w:hAnsi="Arial"/>
          <w:sz w:val="18"/>
          <w:szCs w:val="18"/>
          <w:color w:val="004878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of proxy materials for the stockholder meeting to be held on May 20, 2026.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8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 w:right="4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View the Proxy Statement and the 2025 Annual Report on Form 10-K online OR you can receive a free paper or email copy of the material(s) by requesting prior to May 6, 2026.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117475</wp:posOffset>
            </wp:positionH>
            <wp:positionV relativeFrom="paragraph">
              <wp:posOffset>143510</wp:posOffset>
            </wp:positionV>
            <wp:extent cx="6831965" cy="8572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  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5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8"/>
                <w:w w:val="98"/>
              </w:rPr>
              <w:t>Smartphone users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0" w:type="dxa"/>
            <w:vAlign w:val="bottom"/>
            <w:vMerge w:val="restart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8"/>
              </w:rPr>
              <w:t>Vote in Person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8"/>
                <w:w w:val="97"/>
              </w:rPr>
              <w:t>Point your camera here and</w:t>
            </w: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8"/>
              </w:rPr>
              <w:t>May 20, 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40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8"/>
                <w:w w:val="98"/>
              </w:rPr>
              <w:t>vote without entering a</w:t>
            </w: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8"/>
              </w:rPr>
              <w:t>10:00 am Central 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8"/>
                <w:w w:val="98"/>
              </w:rPr>
              <w:t>control number</w:t>
            </w: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8"/>
              </w:rPr>
              <w:t>7402 N. Eldridge Parkway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8"/>
              </w:rPr>
              <w:t>Houston, Texas 77041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40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3794760</wp:posOffset>
            </wp:positionH>
            <wp:positionV relativeFrom="paragraph">
              <wp:posOffset>-1328420</wp:posOffset>
            </wp:positionV>
            <wp:extent cx="617220" cy="5486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434340</wp:posOffset>
            </wp:positionH>
            <wp:positionV relativeFrom="paragraph">
              <wp:posOffset>-659765</wp:posOffset>
            </wp:positionV>
            <wp:extent cx="1183005" cy="4629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*Please check the meeting materials for any special requirements for meeting attendance. At the meeting, you will need to request a ballot to vote these shares.</w:t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146050</wp:posOffset>
            </wp:positionV>
            <wp:extent cx="6995160" cy="342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59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8"/>
        </w:rPr>
        <w:t>THIS IS NOT A VOTABLE BALLOT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40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This is an overview of the proposals being presented at the upcoming stockholder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 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Recommends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160" w:space="720"/>
            <w:col w:w="1140"/>
          </w:cols>
          <w:pgMar w:left="440" w:top="25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4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1.</w:t>
            </w:r>
          </w:p>
        </w:tc>
        <w:tc>
          <w:tcPr>
            <w:tcW w:w="93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To elect nine directors to hold office for one-year terms;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3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1a.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Richard Alario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1b.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Terry Bonno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1c.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David Cherechinsky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1d.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Galen Cobb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1e.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Paul Coppinger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1f.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George Damiris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1g.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Karen David-Green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1h.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Ronald Jadin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1i.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Sonya Reed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2.</w:t>
            </w:r>
          </w:p>
        </w:tc>
        <w:tc>
          <w:tcPr>
            <w:tcW w:w="93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To consider and act upon a proposal to ratify the appointment of KPMG LLP as independent auditors of the</w:t>
            </w:r>
          </w:p>
        </w:tc>
        <w:tc>
          <w:tcPr>
            <w:tcW w:w="1300" w:type="dxa"/>
            <w:vAlign w:val="bottom"/>
            <w:vMerge w:val="restart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Company for 2026;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3.</w:t>
            </w:r>
          </w:p>
        </w:tc>
        <w:tc>
          <w:tcPr>
            <w:tcW w:w="93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To consider and act upon an advisory proposal to approve the compensation of our named executive officers.</w:t>
            </w: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-2322195</wp:posOffset>
            </wp:positionV>
            <wp:extent cx="6995160" cy="4834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3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0" w:right="228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8"/>
        </w:rPr>
        <w:t>To consider and act upon any other matters that may properly come before the annual meeting or any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 xml:space="preserve"> </w:t>
      </w:r>
      <w:r>
        <w:rPr>
          <w:rFonts w:ascii="Arial" w:cs="Arial" w:eastAsia="Arial" w:hAnsi="Arial"/>
          <w:sz w:val="18"/>
          <w:szCs w:val="18"/>
          <w:color w:val="004878"/>
        </w:rPr>
        <w:t>postponement or adjournment thereof.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 xml:space="preserve">    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74930</wp:posOffset>
            </wp:positionV>
            <wp:extent cx="6995160" cy="1968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V92711-P48376</w:t>
      </w:r>
    </w:p>
    <w:sectPr>
      <w:pgSz w:w="11900" w:h="16838" w:orient="portrait"/>
      <w:cols w:equalWidth="0" w:num="1">
        <w:col w:w="11020"/>
      </w:cols>
      <w:pgMar w:left="440" w:top="25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2026-04-09T08:06:41Z</dcterms:created>
  <dcterms:modified xsi:type="dcterms:W3CDTF">2026-04-09T08:06:41Z</dcterms:modified>
</cp:coreProperties>
</file>