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now-20260806.htm"/>
      <w:bookmarkStart w:id="1" w:name="ksdnow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1"/>
        </w:rPr>
      </w:pPr>
      <w:r>
        <w:rPr>
          <w:rFonts w:ascii="Times New Roman" w:hAnsi="Times New Roman"/>
          <w:b/>
          <w:color w:val="000000"/>
          <w:sz w:val="41"/>
        </w:rPr>
        <w:t>DNOW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center"/>
        <w:rPr/>
      </w:pPr>
      <w:r>
        <w:rPr/>
        <w:drawing>
          <wp:inline distT="0" distB="0" distL="0" distR="0">
            <wp:extent cx="18097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504825"/>
                    </a:xfrm>
                    <a:prstGeom prst="rect">
                      <a:avLst/>
                    </a:prstGeom>
                  </pic:spPr>
                </pic:pic>
              </a:graphicData>
            </a:graphic>
          </wp:inline>
        </w:drawing>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001-36325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46-4191184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7402 North Eldridge Parkway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77041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281</w:t>
            </w:r>
            <w:r>
              <w:rPr>
                <w:rFonts w:ascii="Times New Roman" w:hAnsi="Times New Roman"/>
                <w:color w:val="000000"/>
                <w:sz w:val="20"/>
              </w:rPr>
              <w:t xml:space="preserve"> </w:t>
            </w:r>
            <w:r>
              <w:rPr>
                <w:rFonts w:ascii="Times New Roman" w:hAnsi="Times New Roman"/>
                <w:b/>
                <w:color w:val="000000"/>
                <w:sz w:val="20"/>
              </w:rPr>
              <w:t>823-4700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DNOW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righ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2026, DNOW Inc. issued a press release announcing earnings for the quarter ended June 30, 2026 and conference call in connection therewith. A copy of the release is furnished herewith as Exhibit 99.1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Current Report shall not be deemed to be “filed” for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The following exhibit is provided as part of the information furnished under Item 2.02 of this Current Report on Form 8-K:</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dnow-ex99_1.htm">
              <w:r>
                <w:rPr>
                  <w:rStyle w:val="InternetLink"/>
                  <w:rFonts w:ascii="Times New Roman" w:hAnsi="Times New Roman"/>
                  <w:color w:val="0000FF"/>
                  <w:sz w:val="20"/>
                  <w:u w:val="single"/>
                </w:rPr>
                <w:t>DNOW Inc. press release dated August 6, 2026 announcing the earnings results for the second quarter ended June 30,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97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69" w:type="dxa"/>
        <w:jc w:val="left"/>
        <w:tblInd w:w="0" w:type="dxa"/>
        <w:tblLayout w:type="fixed"/>
        <w:tblCellMar>
          <w:top w:w="28" w:type="dxa"/>
          <w:left w:w="28" w:type="dxa"/>
          <w:bottom w:w="28" w:type="dxa"/>
          <w:right w:w="28" w:type="dxa"/>
        </w:tblCellMar>
      </w:tblPr>
      <w:tblGrid>
        <w:gridCol w:w="556"/>
        <w:gridCol w:w="1351"/>
        <w:gridCol w:w="451"/>
        <w:gridCol w:w="29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DNOW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Raymond W. Chang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Raymond W. Chang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Vice President &amp; 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dnow-ex99_1.htm"/>
      <w:bookmarkStart w:id="3" w:name="ksdnowex99_1"/>
      <w:bookmarkStart w:id="4" w:name="dnow-ex99_1.htm"/>
      <w:bookmarkStart w:id="5" w:name="ksdnowex99_1"/>
      <w:bookmarkEnd w:id="4"/>
      <w:bookmarkEnd w:id="5"/>
      <w:r>
        <w:br w:type="page"/>
      </w:r>
    </w:p>
    <w:tbl>
      <w:tblPr>
        <w:tblW w:w="7932" w:type="dxa"/>
        <w:jc w:val="left"/>
        <w:tblInd w:w="0" w:type="dxa"/>
        <w:tblLayout w:type="fixed"/>
        <w:tblCellMar>
          <w:top w:w="28" w:type="dxa"/>
          <w:left w:w="28" w:type="dxa"/>
          <w:bottom w:w="28" w:type="dxa"/>
          <w:right w:w="28" w:type="dxa"/>
        </w:tblCellMar>
      </w:tblPr>
      <w:tblGrid>
        <w:gridCol w:w="4151"/>
        <w:gridCol w:w="3781"/>
      </w:tblGrid>
      <w:tr>
        <w:trPr/>
        <w:tc>
          <w:tcPr>
            <w:tcW w:w="415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415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57175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1181100"/>
                          </a:xfrm>
                          <a:prstGeom prst="rect">
                            <a:avLst/>
                          </a:prstGeom>
                        </pic:spPr>
                      </pic:pic>
                    </a:graphicData>
                  </a:graphic>
                </wp:inline>
              </w:drawing>
            </w:r>
          </w:p>
        </w:tc>
        <w:tc>
          <w:tcPr>
            <w:tcW w:w="3781" w:type="dxa"/>
            <w:tcBorders/>
            <w:tcMar>
              <w:top w:w="0" w:type="dxa"/>
              <w:left w:w="0" w:type="dxa"/>
              <w:bottom w:w="0" w:type="dxa"/>
              <w:right w:w="0" w:type="dxa"/>
            </w:tcMar>
            <w:vAlign w:val="center"/>
          </w:tcPr>
          <w:p>
            <w:pPr>
              <w:pStyle w:val="TableContents"/>
              <w:bidi w:val="0"/>
              <w:jc w:val="right"/>
              <w:rPr>
                <w:rFonts w:ascii="Times New Roman" w:hAnsi="Times New Roman"/>
                <w:b/>
                <w:color w:val="000000"/>
                <w:sz w:val="20"/>
              </w:rPr>
            </w:pPr>
            <w:r>
              <w:rPr>
                <w:rFonts w:ascii="Times New Roman" w:hAnsi="Times New Roman"/>
                <w:b/>
                <w:color w:val="000000"/>
                <w:sz w:val="20"/>
              </w:rPr>
              <w:t>Earnings Conference Call</w:t>
            </w:r>
          </w:p>
          <w:p>
            <w:pPr>
              <w:pStyle w:val="TableContents"/>
              <w:bidi w:val="0"/>
              <w:jc w:val="right"/>
              <w:rPr>
                <w:rFonts w:ascii="Times New Roman" w:hAnsi="Times New Roman"/>
                <w:color w:val="000000"/>
                <w:sz w:val="20"/>
              </w:rPr>
            </w:pPr>
            <w:r>
              <w:rPr>
                <w:rFonts w:ascii="Times New Roman" w:hAnsi="Times New Roman"/>
                <w:color w:val="000000"/>
                <w:sz w:val="20"/>
              </w:rPr>
              <w:t>August 6, 2026</w:t>
            </w:r>
          </w:p>
          <w:p>
            <w:pPr>
              <w:pStyle w:val="TableContents"/>
              <w:bidi w:val="0"/>
              <w:jc w:val="right"/>
              <w:rPr>
                <w:rFonts w:ascii="Times New Roman" w:hAnsi="Times New Roman"/>
                <w:color w:val="000000"/>
                <w:sz w:val="20"/>
              </w:rPr>
            </w:pPr>
            <w:r>
              <w:rPr>
                <w:rFonts w:ascii="Times New Roman" w:hAnsi="Times New Roman"/>
                <w:color w:val="000000"/>
                <w:sz w:val="20"/>
              </w:rPr>
              <w:t>8:00 a.m. CT</w:t>
            </w:r>
          </w:p>
          <w:p>
            <w:pPr>
              <w:pStyle w:val="TableContents"/>
              <w:bidi w:val="0"/>
              <w:jc w:val="right"/>
              <w:rPr>
                <w:rFonts w:ascii="Times New Roman" w:hAnsi="Times New Roman"/>
                <w:color w:val="000000"/>
                <w:sz w:val="20"/>
              </w:rPr>
            </w:pPr>
            <w:r>
              <w:rPr>
                <w:rFonts w:ascii="Times New Roman" w:hAnsi="Times New Roman"/>
                <w:color w:val="000000"/>
                <w:sz w:val="20"/>
              </w:rPr>
              <w:t>1 (888) 660-6431 (within North America)</w:t>
            </w:r>
          </w:p>
          <w:p>
            <w:pPr>
              <w:pStyle w:val="TableContents"/>
              <w:bidi w:val="0"/>
              <w:jc w:val="right"/>
              <w:rPr>
                <w:rFonts w:ascii="Times New Roman" w:hAnsi="Times New Roman"/>
                <w:color w:val="000000"/>
                <w:sz w:val="20"/>
              </w:rPr>
            </w:pPr>
            <w:r>
              <w:rPr>
                <w:rFonts w:ascii="Times New Roman" w:hAnsi="Times New Roman"/>
                <w:color w:val="000000"/>
                <w:sz w:val="20"/>
              </w:rPr>
              <w:t>1 (929) 203-2118 (outside of North America)</w:t>
            </w:r>
          </w:p>
          <w:p>
            <w:pPr>
              <w:pStyle w:val="TableContents"/>
              <w:bidi w:val="0"/>
              <w:jc w:val="right"/>
              <w:rPr>
                <w:rFonts w:ascii="Times New Roman" w:hAnsi="Times New Roman"/>
                <w:color w:val="000000"/>
                <w:sz w:val="20"/>
              </w:rPr>
            </w:pPr>
            <w:r>
              <w:rPr>
                <w:rFonts w:ascii="Times New Roman" w:hAnsi="Times New Roman"/>
                <w:color w:val="000000"/>
                <w:sz w:val="20"/>
              </w:rPr>
              <w:t>Access Code: 7372055</w:t>
            </w:r>
          </w:p>
          <w:p>
            <w:pPr>
              <w:pStyle w:val="TableContents"/>
              <w:bidi w:val="0"/>
              <w:spacing w:before="0" w:after="283"/>
              <w:jc w:val="right"/>
              <w:rPr>
                <w:rFonts w:ascii="Times New Roman" w:hAnsi="Times New Roman"/>
                <w:sz w:val="20"/>
              </w:rPr>
            </w:pPr>
            <w:r>
              <w:rPr>
                <w:rFonts w:ascii="Times New Roman" w:hAnsi="Times New Roman"/>
                <w:color w:val="000000"/>
                <w:sz w:val="20"/>
              </w:rPr>
              <w:t xml:space="preserve">Webcast: </w:t>
            </w:r>
            <w:r>
              <w:rPr>
                <w:rFonts w:ascii="Times New Roman" w:hAnsi="Times New Roman"/>
                <w:sz w:val="20"/>
              </w:rPr>
              <w:t>ir.dnow.com</w:t>
            </w:r>
          </w:p>
        </w:tc>
      </w:tr>
    </w:tbl>
    <w:p>
      <w:pPr>
        <w:pStyle w:val="TextBody"/>
        <w:bidi w:val="0"/>
        <w:spacing w:before="360" w:after="360"/>
        <w:jc w:val="center"/>
        <w:rPr>
          <w:rFonts w:ascii="Times New Roman" w:hAnsi="Times New Roman"/>
          <w:sz w:val="20"/>
        </w:rPr>
      </w:pPr>
      <w:r>
        <w:rPr>
          <w:rFonts w:ascii="Times New Roman" w:hAnsi="Times New Roman"/>
          <w:b/>
          <w:color w:val="000000"/>
          <w:sz w:val="20"/>
        </w:rPr>
        <w:t>DNOW Reports Second Quarter 2026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HOUSTON, TX, August 6, 2026 – DNOW Inc. (NYSE: DNOW) announced results for the second quarter ended June 30,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Capital Allocation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Repurchased $25 million of common stock in the second quarter of 2026 and $75 million year-to-date under the Company's $160 million share repurchase program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Second Quarter 2026 Highlights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Revenue was $1,307 million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Gross profit was $243 million, or 18.6% of revenue, and adjusted gross profit was $272 million, or 20.8% of revenue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Net loss attributable to DNOW Inc. was $21 million, or ($0.11) per diluted share, and adjusted net income attributable to DNOW Inc. was $21 million, or $0.12 per diluted share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Adjusted EBITDA was $60 million, or 4.6% of revenue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Cash flow from operating activities was $133 million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Cash and cash equivalents was $114 million and total long-term debt was $474 million at June 30, 2026, equating to net debt of $360 million, or a net debt leverage ratio of 1.7x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Cherechinsky, President and CEO of DNOW, added, “I am thrilled with our significantly improved performance during the second quarter of 2026, highlighted by $133 million of cash flow from operating activities, a record second-quarter achievement. Strong collections improved the quality and liquidity of accounts receivable, while inventory streamlining further enhanced exceptional cash generation.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to $1.3 billion during the quarter, representing a 10% sequential increase and a strong 13% increase in the U.S. segment. Adjusted EBITDA rose substantially to $60 million, up 54% sequentially, reflecting stronger volumes and execution of integration and cost management initiatives. Second-quarter U.S. midstream revenues surpassed $1 billion on an annualized basis for the first time in our history, while both the gas utility and upstream sector revenues delivered their strongest sequential quarter percentage growth since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our net debt leverage ratio improved to 1.7 times, while we returned capital to shareholders through our share repurchase program, demonstrating the strength of our cash generation and our commitment to disciplined capital allocation. Total repurchases reached $75 million during the first half of 2026, representing more shares purchased in these two quarters than in the previous 10 quarters combined. The continued investment in our own shares reflects our confidence in the execution of our strategy and long-term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would like to thank our entire team for their efforts to deepen relationships with customers and suppliers, advance our integration initiatives and drive greater operational efficiency with dedication and commitment to growth. Our actions are producing encouraging results, and we continue to take decisive steps to position DNOW for long-term success. I am very proud of the progress we made during the quarter and confident about the second half of the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earnings conference call a presentation titled “DNOW Second Quarter 2026 Earnings Presentation” will be available on the Company’s Investor Relations website. </w:t>
      </w:r>
    </w:p>
    <w:p>
      <w:pPr>
        <w:pStyle w:val="TextBody"/>
        <w:bidi w:val="0"/>
        <w:spacing w:before="240" w:after="283"/>
        <w:jc w:val="left"/>
        <w:rPr>
          <w:rFonts w:ascii="Times New Roman" w:hAnsi="Times New Roman"/>
          <w:sz w:val="20"/>
        </w:rPr>
      </w:pPr>
      <w:r>
        <w:rPr>
          <w:rFonts w:ascii="Times New Roman" w:hAnsi="Times New Roman"/>
          <w:b/>
          <w:color w:val="000000"/>
          <w:sz w:val="20"/>
        </w:rPr>
        <w:t>About DNOW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DNOW is a premier energy and industrial solutions provider with a legacy of over 160 years as a leading distributor of pipe, valves, fittings (PVF), gas products, pumps and fabricated equipment. Headquartered in Houston, Texas, with approximately 5,100 employees and a global network of distribution and engineering locations; we provide a broad mix of quality products our customers require to build and maintain essential infrastructure across the upstream, gas utilities, downstream and industrial and midstream markets. We deliver a comprehensive range of value-added supply chain solutions and technical product expertise, supported by advanced digital offerings. Our products and resources enable our customers to run their operations more efficiently and effectively, helping them to meet and exceed their business goals.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Statements made in this press release that are forward-looking in nature are intended to be "forward-looking statements" within the meaning of Section 21E of the Securities Exchange Act of 1934 and may involve risks and uncertainties. These statements may differ materially from actual future events or results. Readers are referred to documents filed by DNOW Inc. with the U.S. Securities and Exchange Commission, which identify significant risk factors which could cause actual results to differ from those contained in the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Contact:</w:t>
      </w:r>
    </w:p>
    <w:p>
      <w:pPr>
        <w:pStyle w:val="TextBody"/>
        <w:bidi w:val="0"/>
        <w:jc w:val="left"/>
        <w:rPr>
          <w:rFonts w:ascii="Times New Roman" w:hAnsi="Times New Roman"/>
          <w:color w:val="000000"/>
          <w:sz w:val="20"/>
        </w:rPr>
      </w:pPr>
      <w:r>
        <w:rPr>
          <w:rFonts w:ascii="Times New Roman" w:hAnsi="Times New Roman"/>
          <w:color w:val="000000"/>
          <w:sz w:val="20"/>
        </w:rPr>
        <w:t>Mark Johnson</w:t>
      </w:r>
    </w:p>
    <w:p>
      <w:pPr>
        <w:pStyle w:val="TextBody"/>
        <w:bidi w:val="0"/>
        <w:jc w:val="left"/>
        <w:rPr>
          <w:rFonts w:ascii="Times New Roman" w:hAnsi="Times New Roman"/>
          <w:color w:val="000000"/>
          <w:sz w:val="20"/>
        </w:rPr>
      </w:pPr>
      <w:r>
        <w:rPr>
          <w:rFonts w:ascii="Times New Roman" w:hAnsi="Times New Roman"/>
          <w:color w:val="000000"/>
          <w:sz w:val="20"/>
        </w:rPr>
        <w:t>Senior Vice President and Chief Financial Officer</w:t>
      </w:r>
    </w:p>
    <w:p>
      <w:pPr>
        <w:pStyle w:val="TextBody"/>
        <w:bidi w:val="0"/>
        <w:jc w:val="left"/>
        <w:rPr>
          <w:rFonts w:ascii="Times New Roman" w:hAnsi="Times New Roman"/>
          <w:color w:val="000000"/>
          <w:sz w:val="20"/>
        </w:rPr>
      </w:pPr>
      <w:r>
        <w:rPr>
          <w:rFonts w:ascii="Times New Roman" w:hAnsi="Times New Roman"/>
          <w:color w:val="000000"/>
          <w:sz w:val="20"/>
        </w:rPr>
        <w:t>(281) 823-4754</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DNOW INC.</w:t>
      </w:r>
    </w:p>
    <w:p>
      <w:pPr>
        <w:pStyle w:val="Heading1"/>
        <w:bidi w:val="0"/>
        <w:jc w:val="center"/>
        <w:rPr>
          <w:rFonts w:ascii="Times New Roman" w:hAnsi="Times New Roman"/>
          <w:color w:val="000000"/>
          <w:sz w:val="20"/>
        </w:rPr>
      </w:pPr>
      <w:r>
        <w:rPr>
          <w:rFonts w:ascii="Times New Roman" w:hAnsi="Times New Roman"/>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share and par value)</w:t>
      </w:r>
    </w:p>
    <w:tbl>
      <w:tblPr>
        <w:tblW w:w="10205" w:type="dxa"/>
        <w:jc w:val="left"/>
        <w:tblInd w:w="0" w:type="dxa"/>
        <w:tblLayout w:type="fixed"/>
        <w:tblCellMar>
          <w:top w:w="28" w:type="dxa"/>
          <w:left w:w="28" w:type="dxa"/>
          <w:bottom w:w="28" w:type="dxa"/>
          <w:right w:w="28" w:type="dxa"/>
        </w:tblCellMar>
      </w:tblPr>
      <w:tblGrid>
        <w:gridCol w:w="6775"/>
        <w:gridCol w:w="146"/>
        <w:gridCol w:w="311"/>
        <w:gridCol w:w="742"/>
        <w:gridCol w:w="166"/>
        <w:gridCol w:w="146"/>
        <w:gridCol w:w="304"/>
        <w:gridCol w:w="822"/>
        <w:gridCol w:w="793"/>
      </w:tblGrid>
      <w:tr>
        <w:trPr/>
        <w:tc>
          <w:tcPr>
            <w:tcW w:w="6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$0.01; 330 million shares authorized; 180,910,798 and 186,125,254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DNOW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DNOW INC.</w:t>
      </w:r>
    </w:p>
    <w:p>
      <w:pPr>
        <w:pStyle w:val="Heading1"/>
        <w:bidi w:val="0"/>
        <w:jc w:val="center"/>
        <w:rPr>
          <w:rFonts w:ascii="Times New Roman" w:hAnsi="Times New Roman"/>
          <w:color w:val="000000"/>
          <w:sz w:val="20"/>
        </w:rPr>
      </w:pPr>
      <w:r>
        <w:rPr>
          <w:rFonts w:ascii="Times New Roman" w:hAnsi="Times New Roman"/>
          <w:color w:val="000000"/>
          <w:sz w:val="20"/>
        </w:rPr>
        <w:t>CONSOLIDATED STATEMENTS OF OPERATIONS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97"/>
        <w:gridCol w:w="211"/>
        <w:gridCol w:w="571"/>
        <w:gridCol w:w="166"/>
        <w:gridCol w:w="146"/>
        <w:gridCol w:w="211"/>
        <w:gridCol w:w="466"/>
        <w:gridCol w:w="146"/>
        <w:gridCol w:w="146"/>
        <w:gridCol w:w="233"/>
        <w:gridCol w:w="631"/>
        <w:gridCol w:w="166"/>
        <w:gridCol w:w="146"/>
        <w:gridCol w:w="211"/>
        <w:gridCol w:w="571"/>
        <w:gridCol w:w="166"/>
        <w:gridCol w:w="146"/>
        <w:gridCol w:w="211"/>
        <w:gridCol w:w="571"/>
        <w:gridCol w:w="393"/>
      </w:tblGrid>
      <w:tr>
        <w:trPr/>
        <w:tc>
          <w:tcPr>
            <w:tcW w:w="4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DNOW Inc.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 attributable to DNOW Inc. stockholders: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DNOW INC.</w:t>
        <w:br/>
        <w:t>SUPPLEMENTAL INFORMATION</w:t>
      </w:r>
    </w:p>
    <w:p>
      <w:pPr>
        <w:pStyle w:val="TextBody"/>
        <w:bidi w:val="0"/>
        <w:jc w:val="center"/>
        <w:rPr>
          <w:rFonts w:ascii="Times New Roman" w:hAnsi="Times New Roman"/>
          <w:sz w:val="20"/>
        </w:rPr>
      </w:pPr>
      <w:r>
        <w:rPr>
          <w:rFonts w:ascii="Times New Roman" w:hAnsi="Times New Roman"/>
          <w:b/>
          <w:color w:val="000000"/>
          <w:sz w:val="20"/>
        </w:rPr>
        <w:br/>
        <w:t>BUSINESS SEGMENTS (UNAUDITED)</w:t>
        <w:br/>
      </w:r>
      <w:r>
        <w:rPr>
          <w:rFonts w:ascii="Times New Roman" w:hAnsi="Times New Roman"/>
          <w:b/>
          <w:i/>
          <w:color w:val="000000"/>
          <w:sz w:val="20"/>
        </w:rPr>
        <w:t>(In millions)</w:t>
      </w:r>
      <w:r>
        <w:rPr>
          <w:rFonts w:ascii="Times New Roman" w:hAnsi="Times New Roman"/>
          <w:b/>
          <w:color w:val="000000"/>
          <w:sz w:val="20"/>
        </w:rPr>
        <w:br/>
      </w:r>
      <w:r>
        <w:rPr>
          <w:rFonts w:ascii="Times New Roman" w:hAnsi="Times New Roman"/>
          <w:color w:val="000000"/>
          <w:sz w:val="20"/>
        </w:rPr>
        <w:t> </w:t>
      </w:r>
    </w:p>
    <w:tbl>
      <w:tblPr>
        <w:tblW w:w="6823" w:type="dxa"/>
        <w:jc w:val="left"/>
        <w:tblInd w:w="0" w:type="dxa"/>
        <w:tblLayout w:type="fixed"/>
        <w:tblCellMar>
          <w:top w:w="28" w:type="dxa"/>
          <w:left w:w="28" w:type="dxa"/>
          <w:bottom w:w="28" w:type="dxa"/>
          <w:right w:w="28" w:type="dxa"/>
        </w:tblCellMar>
      </w:tblPr>
      <w:tblGrid>
        <w:gridCol w:w="1401"/>
        <w:gridCol w:w="211"/>
        <w:gridCol w:w="571"/>
        <w:gridCol w:w="146"/>
        <w:gridCol w:w="146"/>
        <w:gridCol w:w="211"/>
        <w:gridCol w:w="421"/>
        <w:gridCol w:w="146"/>
        <w:gridCol w:w="146"/>
        <w:gridCol w:w="239"/>
        <w:gridCol w:w="646"/>
        <w:gridCol w:w="146"/>
        <w:gridCol w:w="146"/>
        <w:gridCol w:w="211"/>
        <w:gridCol w:w="571"/>
        <w:gridCol w:w="146"/>
        <w:gridCol w:w="146"/>
        <w:gridCol w:w="211"/>
        <w:gridCol w:w="571"/>
        <w:gridCol w:w="391"/>
      </w:tblGrid>
      <w:tr>
        <w:trPr/>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U.S. GENERALLY ACCEPTED ACCOUNTING PRINCIPLES (GAAP) TO NON-GAAP RECONCILIATIONS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an effort to provide investors with additional information regarding our results as determined by GAAP, we disclose various non-GAAP financial measures in our quarterly earnings press releases and other public disclosures. The non-GAAP financial measures include: (i) adjusted gross profit, (ii) adjusted gross profit as a percentage of revenue, (iii) adjusted earnings before interest, taxes, depreciation and amortization and excluding other costs (Adjusted EBITDA), (iv) Adjusted EBITDA as a percentage of revenue, (v) Adjusted Net Income attributable to DNOW Inc., (vi) Adjusted Diluted Earnings Per Share Attributable to DNOW Inc. Stockholders, (vii) Net Debt, (viii) Net Debt Leverage Ratio and (ix) Free Cash Flow. We use these non-GAAP financial measures to evaluate and manage the Company’s operations because we believe they provide useful supplemental information regarding the financial performance of our business. These non-GAAP financial measures are not intended to replace the GAAP financial measures. The Company defines Adjusted Gross Profit as revenue, less cost of products, plus amortization of intangibles, plus inventory-related charges incremental to normal operations, plus transaction costs associated with acquisitions, such as inventory fair value step-up or write-downs and plus or minus the impact of our Last-In, First-Out (“LIFO”) inventory costing methodology. We define Adjusted EBITDA as net (loss) income plus interest, taxes, depreciation and amortization and excluding other costs, such as stock-based compensation, restructuring and exit costs, transaction-related charges, inventory-related charges incremental to normal operations, long-lived asset impairments (including goodwill and intangible assets) and plus or minus the impact of our LIFO inventory costing methodology. Transaction-related charges include transaction costs, inventory fair value step-up, retention bonus accruals and integration expenses associated with acquisitions. We define Net Debt as total long-term debt, including current portion, minus cash. We define our Net Debt Leverage Ratio as Net Debt divided by trailing twelve months Adjusted EBITDA. The Company believes Net Debt is an indicator of the extent to which the Company’s outstanding debt obligations could be satisfied by cash on hand and a useful metric for investors to evaluate the Company’s leverage position. We believe the Net Debt Leverage Ratio is a commonly used metric that management and investors use to assess the borrowing capacity of the Company. We define Free Cash Flow as net cash provided by (used in) operating activities adjusted for purchases of property, plant and equipment. The Company believes Free Cash Flow is a useful metric for investors to measure a company's financial flexibility and ability to generate cash after considering normal operating expenses and capital expenditures. A reconciliation of each of these non-GAAP financial measures to its most comparable GAAP financial measure is included in the schedules herein. Totals in the schedules herein may not foot due to rounding.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GROSS PROFIT TO ADJUSTED GROSS PROFIT RECONCILIATION (UNAUDITED)</w:t>
        <w:br/>
      </w:r>
      <w:r>
        <w:rPr>
          <w:rFonts w:ascii="Times New Roman" w:hAnsi="Times New Roman"/>
          <w:b/>
          <w:i/>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14"/>
        <w:gridCol w:w="196"/>
        <w:gridCol w:w="376"/>
        <w:gridCol w:w="146"/>
        <w:gridCol w:w="183"/>
        <w:gridCol w:w="532"/>
        <w:gridCol w:w="256"/>
        <w:gridCol w:w="196"/>
        <w:gridCol w:w="376"/>
        <w:gridCol w:w="146"/>
        <w:gridCol w:w="183"/>
        <w:gridCol w:w="532"/>
        <w:gridCol w:w="256"/>
        <w:gridCol w:w="146"/>
        <w:gridCol w:w="196"/>
        <w:gridCol w:w="376"/>
        <w:gridCol w:w="146"/>
        <w:gridCol w:w="183"/>
        <w:gridCol w:w="532"/>
        <w:gridCol w:w="256"/>
        <w:gridCol w:w="146"/>
        <w:gridCol w:w="196"/>
        <w:gridCol w:w="376"/>
        <w:gridCol w:w="146"/>
        <w:gridCol w:w="183"/>
        <w:gridCol w:w="532"/>
        <w:gridCol w:w="256"/>
        <w:gridCol w:w="196"/>
        <w:gridCol w:w="376"/>
        <w:gridCol w:w="146"/>
        <w:gridCol w:w="183"/>
        <w:gridCol w:w="532"/>
        <w:gridCol w:w="310"/>
      </w:tblGrid>
      <w:tr>
        <w:trPr/>
        <w:tc>
          <w:tcPr>
            <w:tcW w:w="1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Gross profit, as reported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intangibles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Increase in LIFO reserve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Inventory-related transaction charges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Adjusted Gross Profit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NET (LOSS) INCOME ATTRIBUTABLE TO DNOW INC. STOCKHOLDERS TO ADJUSTED EBITDA RECONCILIATION (UNAUDITED)</w:t>
        <w:br/>
      </w:r>
      <w:r>
        <w:rPr>
          <w:rFonts w:ascii="Times New Roman" w:hAnsi="Times New Roman"/>
          <w:b/>
          <w:i/>
          <w:color w:val="000000"/>
          <w:sz w:val="20"/>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8"/>
        <w:gridCol w:w="196"/>
        <w:gridCol w:w="346"/>
        <w:gridCol w:w="166"/>
        <w:gridCol w:w="192"/>
        <w:gridCol w:w="518"/>
        <w:gridCol w:w="256"/>
        <w:gridCol w:w="196"/>
        <w:gridCol w:w="346"/>
        <w:gridCol w:w="166"/>
        <w:gridCol w:w="217"/>
        <w:gridCol w:w="493"/>
        <w:gridCol w:w="256"/>
        <w:gridCol w:w="146"/>
        <w:gridCol w:w="196"/>
        <w:gridCol w:w="346"/>
        <w:gridCol w:w="166"/>
        <w:gridCol w:w="192"/>
        <w:gridCol w:w="518"/>
        <w:gridCol w:w="256"/>
        <w:gridCol w:w="146"/>
        <w:gridCol w:w="196"/>
        <w:gridCol w:w="346"/>
        <w:gridCol w:w="166"/>
        <w:gridCol w:w="192"/>
        <w:gridCol w:w="518"/>
        <w:gridCol w:w="256"/>
        <w:gridCol w:w="196"/>
        <w:gridCol w:w="346"/>
        <w:gridCol w:w="166"/>
        <w:gridCol w:w="217"/>
        <w:gridCol w:w="493"/>
        <w:gridCol w:w="311"/>
      </w:tblGrid>
      <w:tr>
        <w:trPr/>
        <w:tc>
          <w:tcPr>
            <w:tcW w:w="1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 % of revenue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Attributable to DNOW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Attributable to noncontrolling interests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(income),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Stock-based compensation </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LIFO reserve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Transaction-related charges </w:t>
            </w:r>
            <w:r>
              <w:rPr>
                <w:rFonts w:ascii="Times New Roman" w:hAnsi="Times New Roman"/>
                <w:color w:val="000000"/>
                <w:sz w:val="12"/>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Inventory-related transaction charges </w:t>
            </w:r>
            <w:r>
              <w:rPr>
                <w:rFonts w:ascii="Times New Roman" w:hAnsi="Times New Roman"/>
                <w:color w:val="000000"/>
                <w:sz w:val="12"/>
              </w:rPr>
              <w:t>(4)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Impairment and other charges </w:t>
            </w:r>
            <w:r>
              <w:rPr>
                <w:rFonts w:ascii="Times New Roman" w:hAnsi="Times New Roman"/>
                <w:color w:val="000000"/>
                <w:sz w:val="12"/>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exit costs </w:t>
            </w:r>
            <w:r>
              <w:rPr>
                <w:rFonts w:ascii="Times New Roman" w:hAnsi="Times New Roman"/>
                <w:color w:val="000000"/>
                <w:sz w:val="1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During the fourth quarter of 2025, the Company changed its inventory valuation method for U.S. inventories from the moving average cost method to the LIFO method. The effects of the change in accounting principle have been retrospectively applied to all periods presented. The three and six months ended June 30, 2025 includes a change in accounting principle adjustment decreasing the previously reported net income attributable to DNOW Inc. by $11 million and $12 million, respectively.</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For the three months ended June 30, 2026 and 2025 and March 31, 2026, stock-based compensation excludes $1 million, less than $1 million and $1 million, respectively, as such amounts were reported in transaction-related charges. For the six months ended June 30, 2026 and 2025, stock-based compensation excludes $2 million and $1 million, respectively, as such amounts were reported in transaction-related charges.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Transaction-related charges and restructuring and exit costs are included in selling, general and administrative expenses.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Inventory-related transaction charges are included in cost of products. For the three months ended June 30, 2026 and March 31, 2026 and for the six months ended June 30, 2026, inventory-related transaction charges includes $3 million, $41 million and $44 million, respectively, of charges related to inventory step-up and inventory write-downs.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For the three and six months ended June 30, 2026, impairment and other charges includes $4 million of impairment charges related to the operating right-of-use asset associated with a corporate office lease in Houston, Texas. The impairment resulted from the Company's decision to permanently vacate the leased premises.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For the three months ended June 30, 2026 and March 31, 2026 and for the six months ended June 30, 2026, other costs includes $1 million, $2 million and $3 million, respectively, related to foreign currency losses.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NET (LOSS) INCOME ATTRIBUTABLE TO DNOW INC. STOCKHOLDERS TO ADJUSTED NET INCOME ATTRIBUTABLE TO DNOW INC. STOCKHOLDERS RECONCILIATION (UNAUDITED)</w:t>
        <w:br/>
      </w:r>
      <w:r>
        <w:rPr>
          <w:rFonts w:ascii="Times New Roman" w:hAnsi="Times New Roman"/>
          <w:b/>
          <w:i/>
          <w:color w:val="000000"/>
          <w:sz w:val="20"/>
        </w:rPr>
        <w:t>(In millions)</w:t>
      </w:r>
      <w:r>
        <w:rPr>
          <w:rFonts w:ascii="Times New Roman" w:hAnsi="Times New Roman"/>
          <w:color w:val="000000"/>
          <w:sz w:val="20"/>
        </w:rPr>
        <w:br/>
        <w:t> </w:t>
      </w:r>
    </w:p>
    <w:tbl>
      <w:tblPr>
        <w:tblW w:w="8996" w:type="dxa"/>
        <w:jc w:val="left"/>
        <w:tblInd w:w="0" w:type="dxa"/>
        <w:tblLayout w:type="fixed"/>
        <w:tblCellMar>
          <w:top w:w="28" w:type="dxa"/>
          <w:left w:w="28" w:type="dxa"/>
          <w:bottom w:w="28" w:type="dxa"/>
          <w:right w:w="28" w:type="dxa"/>
        </w:tblCellMar>
      </w:tblPr>
      <w:tblGrid>
        <w:gridCol w:w="4051"/>
        <w:gridCol w:w="211"/>
        <w:gridCol w:w="376"/>
        <w:gridCol w:w="166"/>
        <w:gridCol w:w="146"/>
        <w:gridCol w:w="233"/>
        <w:gridCol w:w="382"/>
        <w:gridCol w:w="166"/>
        <w:gridCol w:w="146"/>
        <w:gridCol w:w="317"/>
        <w:gridCol w:w="568"/>
        <w:gridCol w:w="166"/>
        <w:gridCol w:w="146"/>
        <w:gridCol w:w="215"/>
        <w:gridCol w:w="383"/>
        <w:gridCol w:w="169"/>
        <w:gridCol w:w="149"/>
        <w:gridCol w:w="233"/>
        <w:gridCol w:w="382"/>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DNOW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LIFO reserve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Inventory-related transaction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and other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exit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Tax provision (benefit)</w:t>
            </w: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Attributable to DNOW Inc.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three and six months ended June 30, 2025 includes a change in accounting principle adjustment decreasing the previously reported net income attributable to DNOW Inc. by $11 million and $12 million, respectively.</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tax effect of non-GAAP reconciling items is based on the nature of the item and/or the tax jurisdiction in which the reconciling item has been incurred and is calculated by applying the specific tax rate or tax treatment to each item.</w:t>
      </w:r>
    </w:p>
    <w:p>
      <w:pPr>
        <w:pStyle w:val="TextBody"/>
        <w:bidi w:val="0"/>
        <w:spacing w:before="360" w:after="283"/>
        <w:jc w:val="center"/>
        <w:rPr>
          <w:rFonts w:ascii="Times New Roman" w:hAnsi="Times New Roman"/>
          <w:sz w:val="20"/>
        </w:rPr>
      </w:pPr>
      <w:r>
        <w:rPr>
          <w:rFonts w:ascii="Times New Roman" w:hAnsi="Times New Roman"/>
          <w:b/>
          <w:color w:val="000000"/>
          <w:sz w:val="20"/>
        </w:rPr>
        <w:t>DILUTED (LOSS) EARNINGS PER SHARE ATTRIBUTABLE TO DNOW INC. STOCKHOLDERS TO ADJUSTED DILUTED EARNINGS PER SHARE ATTRIBUTABLE TO DNOW INC. STOCKHOLDERS RECONCILIATION (UNAUDITED)</w:t>
      </w: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4786"/>
        <w:gridCol w:w="211"/>
        <w:gridCol w:w="526"/>
        <w:gridCol w:w="166"/>
        <w:gridCol w:w="146"/>
        <w:gridCol w:w="211"/>
        <w:gridCol w:w="526"/>
        <w:gridCol w:w="166"/>
        <w:gridCol w:w="146"/>
        <w:gridCol w:w="237"/>
        <w:gridCol w:w="593"/>
        <w:gridCol w:w="166"/>
        <w:gridCol w:w="146"/>
        <w:gridCol w:w="211"/>
        <w:gridCol w:w="526"/>
        <w:gridCol w:w="166"/>
        <w:gridCol w:w="146"/>
        <w:gridCol w:w="211"/>
        <w:gridCol w:w="526"/>
        <w:gridCol w:w="393"/>
      </w:tblGrid>
      <w:tr>
        <w:trPr/>
        <w:tc>
          <w:tcPr>
            <w:tcW w:w="4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2025</w:t>
            </w:r>
            <w:r>
              <w:rPr>
                <w:rFonts w:ascii="Times New Roman" w:hAnsi="Times New Roman"/>
                <w:b/>
                <w:color w:val="000000"/>
                <w:sz w:val="12"/>
              </w:rPr>
              <w:t>(1)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 attributable to DNOW Inc.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LIFO reserve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Inventory-related transaction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and other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exit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Tax provision (benefit)</w:t>
            </w: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 Attributable to DNOW Inc.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three and six months ended June 30, 2025 includes a change in accounting principle adjustment decreasing the previously reported diluted earnings per share attributable to DNOW Inc. stockholders by $0.10 and $0.11, respectively.</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tax effect of non-GAAP reconciling items is based on the nature of the item and/or the tax jurisdiction in which the reconciling item has been incurred and is calculated by applying the specific tax rate or tax treatment to each item.</w:t>
      </w:r>
    </w:p>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spacing w:before="36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LONG-TERM DEBT TO NET DEBT AND NET DEBT LEVERAGE RATIO CALCULATION (UNAUDITED)</w:t>
      </w:r>
      <w:r>
        <w:rPr>
          <w:rFonts w:ascii="Times New Roman" w:hAnsi="Times New Roman"/>
          <w:b/>
          <w:i/>
          <w:color w:val="000000"/>
          <w:sz w:val="20"/>
        </w:rPr>
        <w:br/>
        <w:t>(In millions)</w:t>
      </w:r>
    </w:p>
    <w:p>
      <w:pPr>
        <w:pStyle w:val="TextBody"/>
        <w:bidi w:val="0"/>
        <w:jc w:val="center"/>
        <w:rPr/>
      </w:pPr>
      <w:r>
        <w:rPr/>
        <w:t> </w:t>
      </w:r>
    </w:p>
    <w:tbl>
      <w:tblPr>
        <w:tblW w:w="4688" w:type="dxa"/>
        <w:jc w:val="left"/>
        <w:tblInd w:w="0" w:type="dxa"/>
        <w:tblLayout w:type="fixed"/>
        <w:tblCellMar>
          <w:top w:w="28" w:type="dxa"/>
          <w:left w:w="28" w:type="dxa"/>
          <w:bottom w:w="28" w:type="dxa"/>
          <w:right w:w="28" w:type="dxa"/>
        </w:tblCellMar>
      </w:tblPr>
      <w:tblGrid>
        <w:gridCol w:w="3541"/>
        <w:gridCol w:w="146"/>
        <w:gridCol w:w="270"/>
        <w:gridCol w:w="540"/>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current portion of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Trailing twelve months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 Leverage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1.7x</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NET CASH PROVIDED BY (USED IN) OPERATING ACTIVITIES TO FREE CASH FLOW (UNAUDITED)</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99"/>
        <w:gridCol w:w="146"/>
        <w:gridCol w:w="229"/>
        <w:gridCol w:w="459"/>
        <w:gridCol w:w="166"/>
        <w:gridCol w:w="146"/>
        <w:gridCol w:w="239"/>
        <w:gridCol w:w="545"/>
        <w:gridCol w:w="166"/>
        <w:gridCol w:w="146"/>
        <w:gridCol w:w="399"/>
        <w:gridCol w:w="601"/>
        <w:gridCol w:w="166"/>
        <w:gridCol w:w="146"/>
        <w:gridCol w:w="423"/>
        <w:gridCol w:w="637"/>
        <w:gridCol w:w="166"/>
        <w:gridCol w:w="146"/>
        <w:gridCol w:w="253"/>
        <w:gridCol w:w="380"/>
        <w:gridCol w:w="166"/>
        <w:gridCol w:w="146"/>
        <w:gridCol w:w="201"/>
        <w:gridCol w:w="356"/>
        <w:gridCol w:w="170"/>
        <w:gridCol w:w="150"/>
        <w:gridCol w:w="201"/>
        <w:gridCol w:w="356"/>
        <w:gridCol w:w="301"/>
      </w:tblGrid>
      <w:tr>
        <w:trPr/>
        <w:tc>
          <w:tcPr>
            <w:tcW w:w="2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3374</Words>
  <Characters>17421</Characters>
  <CharactersWithSpaces>21290</CharactersWithSpaces>
  <Paragraphs>2182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