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NOW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7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001-36325</w:t>
            </w:r>
          </w:p>
        </w:tc>
        <w:tc>
          <w:tcPr>
            <w:tcW w:w="2520" w:type="dxa"/>
            <w:vAlign w:val="bottom"/>
          </w:tcPr>
          <w:p>
            <w:pPr>
              <w:jc w:val="right"/>
              <w:ind w:right="61"/>
              <w:spacing w:after="0"/>
              <w:rPr>
                <w:sz w:val="20"/>
                <w:szCs w:val="20"/>
                <w:color w:val="auto"/>
              </w:rPr>
            </w:pPr>
            <w:r>
              <w:rPr>
                <w:rFonts w:ascii="Arial" w:cs="Arial" w:eastAsia="Arial" w:hAnsi="Arial"/>
                <w:sz w:val="18"/>
                <w:szCs w:val="18"/>
                <w:b w:val="1"/>
                <w:bCs w:val="1"/>
                <w:color w:val="auto"/>
              </w:rPr>
              <w:t>46-4191184</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3"/>
              </w:rPr>
              <w:t>7402 North Eldridge Parkway</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86"/>
              </w:rPr>
              <w:t>Houston, Texas</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77041</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281-823-4700</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30, 2018, NOW Inc. (the “Company”, and together with certain direct and indirect subsidiaries of the Company, the “Borrowers”) replaced the Company’s existing senior secured credit facility and entered into a new senior secured credit facility (the “Credit Facility”) with a syndicate of lenders, with Wells Fargo Bank, National Association, serving as the administrative agent. The Credit Facility provides for a five-year $750 million global revolving credit facility, with potential to further increase the credit facility to $1.0 billion, with a letter of credit subfacility of $60 million and a swing line subfacility of 10% of the facility amount.</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Availability under the Credit Facility is determined by a borrowing base comprised of eligible account receivables and eligible inventory of the Borrowers and guarantors, with subfacilities for Canadian and U.K. borrowings. The obligations of the respective Borrowers and subsidiary guarantors under the Credit Facility are secured by substantially all the assets of such Borrowers and guarantors.</w:t>
      </w:r>
    </w:p>
    <w:p>
      <w:pPr>
        <w:spacing w:after="0" w:line="18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Borrowings under the Credit Facility bear interest, at the Borrowers’ option, at (i) the base rate plus an applicable margin based on the Company’s fixed charge coverage ratio (and if applicable, the Company’s leverage ratio); or (ii) the greater of LIBOR for the applicable interest period and zero, plus an applicable margin based on the Company’s fixed charge coverage ratio (and if applicable, the Company’s leverage ratio).</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Credit Facility contains customary covenants, representations and warranties and events of default. The fixed charge coverage ratio covenant in the Credit Facility applies only if availability under the Credit Facility is less than a certain threshold.</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foregoing description of the Credit Facility does not purport to be a complete description of the parties’ rights and obligations under the Credit Facility and the other documents and transactions contemplated by the Credit Facility. As such, the foregoing description of the Credit Facility is qualified in its entirety by reference to the complete text of the credit agreement entered into in connection with the Credit Facility, a copy of which is filed as an exhibit to this Current Report on Form 8-K as Exhibit 10.1 and is incorporated by reference herein.</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disclosed in Item 1.01 above is incorporated herein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1" w:lineRule="exact"/>
        <w:rPr>
          <w:sz w:val="20"/>
          <w:szCs w:val="20"/>
          <w:color w:val="auto"/>
        </w:rPr>
      </w:pPr>
    </w:p>
    <w:p>
      <w:pPr>
        <w:ind w:left="1100" w:right="1200" w:hanging="634"/>
        <w:spacing w:after="0" w:line="277"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EE"/>
        </w:rPr>
        <w:t>Credit Agreement dated as of April 30, 2018, among the Borrowers, the lenders party thereto and Wells Fargo Bank, National Association as administrative agent, an issuing lender and swing lender.</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April 30, 2018</w:t>
      </w:r>
      <w:r>
        <w:rPr>
          <w:sz w:val="20"/>
          <w:szCs w:val="20"/>
          <w:color w:val="auto"/>
        </w:rPr>
        <w:tab/>
      </w:r>
      <w:r>
        <w:rPr>
          <w:rFonts w:ascii="Arial" w:cs="Arial" w:eastAsia="Arial" w:hAnsi="Arial"/>
          <w:sz w:val="17"/>
          <w:szCs w:val="17"/>
          <w:color w:val="auto"/>
        </w:rPr>
        <w:t>NOW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Raymond W.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Raymond W. Chang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&amp; General Counsel</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486410</wp:posOffset>
            </wp:positionV>
            <wp:extent cx="64325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LENDERS THAT ARE PARTIES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the Lenders,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NOW INC., as Parent,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NOW INC. and DNOW L.P., as US Borrowers,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DNOW CANADA ULC, as Canadian Borrower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April 30,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ROYAL BANK OF CANADA,</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Lead Arrangers,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ROYAL BANK OF CANADA,</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Book Runners,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 and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ROYAL BANK OF CANADA,</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Co-Syndication Agents, and</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FIFTH THIRD BANK,</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842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377"/>
        </w:trPr>
        <w:tc>
          <w:tcPr>
            <w:tcW w:w="8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1.   DEFINITIONS AND CONSTRUCTION</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1.1.</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1.2.</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Accounting Terms</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1.3.</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Code; PPSA</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1.4.</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Construction</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Time References</w:t>
            </w:r>
          </w:p>
        </w:tc>
        <w:tc>
          <w:tcPr>
            <w:tcW w:w="2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Schedules and Exhibits</w:t>
            </w:r>
          </w:p>
        </w:tc>
        <w:tc>
          <w:tcPr>
            <w:tcW w:w="2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Exchange Rates; Currency Equivalents; Applicable Currency</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1.8.</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Quebec Interpretation</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1.9.</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Scottish Interpretation</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2.   LOANS AND TERMS OF PAYMENT</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Revolving Loans</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2.2.</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[Reserved]</w:t>
            </w:r>
          </w:p>
        </w:tc>
        <w:tc>
          <w:tcPr>
            <w:tcW w:w="20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2.3.</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Borrowing Procedures and Settlements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2.4.</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Payments; Reductions of Commitments; Prepayments</w:t>
            </w:r>
          </w:p>
        </w:tc>
        <w:tc>
          <w:tcPr>
            <w:tcW w:w="20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2.5.</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Promise to Pay; Promissory Notes</w:t>
            </w: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2.6.</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Interest Rates and Letter of Credit Fee: Rates, Payments, and Calculations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2.7.</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Crediting Payments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2.8.</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Designated Account</w:t>
            </w:r>
          </w:p>
        </w:tc>
        <w:tc>
          <w:tcPr>
            <w:tcW w:w="2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2.9.</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Maintenance of Loan Account; Statements of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2.10.</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Fees</w:t>
            </w:r>
          </w:p>
        </w:tc>
        <w:tc>
          <w:tcPr>
            <w:tcW w:w="2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2.11A</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US Letters of Credit</w:t>
            </w:r>
          </w:p>
        </w:tc>
        <w:tc>
          <w:tcPr>
            <w:tcW w:w="20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2.11B</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Canadian Letters of Credit</w:t>
            </w:r>
          </w:p>
        </w:tc>
        <w:tc>
          <w:tcPr>
            <w:tcW w:w="20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9"/>
              </w:rPr>
              <w:t>2.11C</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UK Letters of Credit</w:t>
            </w:r>
          </w:p>
        </w:tc>
        <w:tc>
          <w:tcPr>
            <w:tcW w:w="20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2.12.</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Non-Base Rate Option</w:t>
            </w:r>
          </w:p>
        </w:tc>
        <w:tc>
          <w:tcPr>
            <w:tcW w:w="20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2.13.</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Capital Requirements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2.14.</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Incremental Facilities</w:t>
            </w:r>
          </w:p>
        </w:tc>
        <w:tc>
          <w:tcPr>
            <w:tcW w:w="20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2.15.</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Joint and Several Liability of US Borrowers, UK Borrowers and Canadian Borrowers</w:t>
            </w:r>
          </w:p>
        </w:tc>
        <w:tc>
          <w:tcPr>
            <w:tcW w:w="20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2.16.</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Currencies</w:t>
            </w:r>
          </w:p>
        </w:tc>
        <w:tc>
          <w:tcPr>
            <w:tcW w:w="20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2.17.</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Interest Act (Canada); Criminal Rate of Interest; Nominal Rate of Interest</w:t>
            </w:r>
          </w:p>
        </w:tc>
        <w:tc>
          <w:tcPr>
            <w:tcW w:w="20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3.   CONDITIONS; TERM OF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3.1.</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Conditions Precedent to the Initial Extension of Credit</w:t>
            </w:r>
          </w:p>
        </w:tc>
        <w:tc>
          <w:tcPr>
            <w:tcW w:w="2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3.2.</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Conditions Precedent to all Extensions of Credit</w:t>
            </w:r>
          </w:p>
        </w:tc>
        <w:tc>
          <w:tcPr>
            <w:tcW w:w="2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3.3.</w:t>
            </w:r>
          </w:p>
        </w:tc>
        <w:tc>
          <w:tcPr>
            <w:tcW w:w="8420" w:type="dxa"/>
            <w:vAlign w:val="bottom"/>
          </w:tcPr>
          <w:p>
            <w:pPr>
              <w:ind w:left="60"/>
              <w:spacing w:after="0"/>
              <w:rPr>
                <w:sz w:val="20"/>
                <w:szCs w:val="20"/>
                <w:color w:val="auto"/>
              </w:rPr>
            </w:pPr>
            <w:r>
              <w:rPr>
                <w:rFonts w:ascii="Arial" w:cs="Arial" w:eastAsia="Arial" w:hAnsi="Arial"/>
                <w:sz w:val="18"/>
                <w:szCs w:val="18"/>
                <w:b w:val="1"/>
                <w:bCs w:val="1"/>
                <w:color w:val="auto"/>
              </w:rPr>
              <w:t>Maturity</w:t>
            </w:r>
          </w:p>
        </w:tc>
        <w:tc>
          <w:tcPr>
            <w:tcW w:w="20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65"/>
        </w:trPr>
        <w:tc>
          <w:tcPr>
            <w:tcW w:w="860" w:type="dxa"/>
            <w:vAlign w:val="bottom"/>
          </w:tcPr>
          <w:p>
            <w:pPr>
              <w:spacing w:after="0"/>
              <w:rPr>
                <w:sz w:val="24"/>
                <w:szCs w:val="24"/>
                <w:color w:val="auto"/>
              </w:rPr>
            </w:pPr>
          </w:p>
        </w:tc>
        <w:tc>
          <w:tcPr>
            <w:tcW w:w="8420" w:type="dxa"/>
            <w:vAlign w:val="bottom"/>
          </w:tcPr>
          <w:p>
            <w:pPr>
              <w:ind w:left="4760"/>
              <w:spacing w:after="0"/>
              <w:rPr>
                <w:sz w:val="20"/>
                <w:szCs w:val="20"/>
                <w:color w:val="auto"/>
              </w:rPr>
            </w:pPr>
            <w:r>
              <w:rPr>
                <w:rFonts w:ascii="Arial" w:cs="Arial" w:eastAsia="Arial" w:hAnsi="Arial"/>
                <w:sz w:val="18"/>
                <w:szCs w:val="18"/>
                <w:color w:val="auto"/>
              </w:rPr>
              <w:t>-i-</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80" w:type="dxa"/>
            <w:vAlign w:val="bottom"/>
          </w:tcPr>
          <w:p>
            <w:pPr>
              <w:jc w:val="center"/>
              <w:ind w:left="1710"/>
              <w:spacing w:after="0"/>
              <w:rPr>
                <w:sz w:val="20"/>
                <w:szCs w:val="20"/>
                <w:color w:val="auto"/>
              </w:rPr>
            </w:pPr>
            <w:r>
              <w:rPr>
                <w:rFonts w:ascii="Arial" w:cs="Arial" w:eastAsia="Arial" w:hAnsi="Arial"/>
                <w:sz w:val="18"/>
                <w:szCs w:val="18"/>
                <w:b w:val="1"/>
                <w:bCs w:val="1"/>
                <w:color w:val="auto"/>
                <w:w w:val="98"/>
              </w:rPr>
              <w:t>TABLE OF CONTENTS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8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(continued)</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80" w:type="dxa"/>
            <w:vAlign w:val="bottom"/>
          </w:tcPr>
          <w:p>
            <w:pPr>
              <w:spacing w:after="0"/>
              <w:rPr>
                <w:sz w:val="24"/>
                <w:szCs w:val="24"/>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Effect of Maturity</w:t>
            </w: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8080" w:type="dxa"/>
            <w:vAlign w:val="bottom"/>
            <w:vMerge w:val="continue"/>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Early Termination by Borrowers</w:t>
            </w:r>
          </w:p>
        </w:tc>
        <w:tc>
          <w:tcPr>
            <w:tcW w:w="25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3.6.</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Conditions Subsequent</w:t>
            </w:r>
          </w:p>
        </w:tc>
        <w:tc>
          <w:tcPr>
            <w:tcW w:w="25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4.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Due Organization and Qualification; 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Due Authorization; No Conflict</w:t>
            </w:r>
          </w:p>
        </w:tc>
        <w:tc>
          <w:tcPr>
            <w:tcW w:w="25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Governmental Consents</w:t>
            </w:r>
          </w:p>
        </w:tc>
        <w:tc>
          <w:tcPr>
            <w:tcW w:w="25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4.4.</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Binding Obligations; Perfected Liens</w:t>
            </w:r>
          </w:p>
        </w:tc>
        <w:tc>
          <w:tcPr>
            <w:tcW w:w="25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4.5.</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Title to Assets; No Encumbrances</w:t>
            </w:r>
          </w:p>
        </w:tc>
        <w:tc>
          <w:tcPr>
            <w:tcW w:w="2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4.6.</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Litigation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4.7.</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Compliance with Laws</w:t>
            </w:r>
          </w:p>
        </w:tc>
        <w:tc>
          <w:tcPr>
            <w:tcW w:w="2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4.8.</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No Material Adverse Effect</w:t>
            </w:r>
          </w:p>
        </w:tc>
        <w:tc>
          <w:tcPr>
            <w:tcW w:w="2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4.9.</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Solvency</w:t>
            </w:r>
          </w:p>
        </w:tc>
        <w:tc>
          <w:tcPr>
            <w:tcW w:w="2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4.10.</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Employee Benefits</w:t>
            </w:r>
          </w:p>
        </w:tc>
        <w:tc>
          <w:tcPr>
            <w:tcW w:w="2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4.11.</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Environmental Condition</w:t>
            </w:r>
          </w:p>
        </w:tc>
        <w:tc>
          <w:tcPr>
            <w:tcW w:w="25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4.12.</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Complete Disclosure</w:t>
            </w:r>
          </w:p>
        </w:tc>
        <w:tc>
          <w:tcPr>
            <w:tcW w:w="25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4.13.</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Patriot Act, Etc.</w:t>
            </w:r>
          </w:p>
        </w:tc>
        <w:tc>
          <w:tcPr>
            <w:tcW w:w="25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4.14.</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Indebtedness</w:t>
            </w:r>
          </w:p>
        </w:tc>
        <w:tc>
          <w:tcPr>
            <w:tcW w:w="25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4.15.</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Payment of Taxes</w:t>
            </w:r>
          </w:p>
        </w:tc>
        <w:tc>
          <w:tcPr>
            <w:tcW w:w="25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4.16.</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Margin Stock</w:t>
            </w:r>
          </w:p>
        </w:tc>
        <w:tc>
          <w:tcPr>
            <w:tcW w:w="25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4.17.</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Governmental Regulation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4.18.</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OFAC; Sanctions; Anti-Corruption Laws; Anti-Money Laundering Laws</w:t>
            </w:r>
          </w:p>
        </w:tc>
        <w:tc>
          <w:tcPr>
            <w:tcW w:w="25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4.19.</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Employee and Labor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4.20.</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[Reserved]</w:t>
            </w:r>
          </w:p>
        </w:tc>
        <w:tc>
          <w:tcPr>
            <w:tcW w:w="25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4.21.</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Leases</w:t>
            </w:r>
          </w:p>
        </w:tc>
        <w:tc>
          <w:tcPr>
            <w:tcW w:w="25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4.22.</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Eligible Accounts</w:t>
            </w:r>
          </w:p>
        </w:tc>
        <w:tc>
          <w:tcPr>
            <w:tcW w:w="25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4.23.</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Eligible Inventory</w:t>
            </w:r>
          </w:p>
        </w:tc>
        <w:tc>
          <w:tcPr>
            <w:tcW w:w="25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4.24.</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[Reserved]</w:t>
            </w:r>
          </w:p>
        </w:tc>
        <w:tc>
          <w:tcPr>
            <w:tcW w:w="25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4.25.</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Location of Inventory</w:t>
            </w:r>
          </w:p>
        </w:tc>
        <w:tc>
          <w:tcPr>
            <w:tcW w:w="25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4.26.</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Inventory Records</w:t>
            </w:r>
          </w:p>
        </w:tc>
        <w:tc>
          <w:tcPr>
            <w:tcW w:w="25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4.27.</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Hedge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4.28.</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Material Contracts</w:t>
            </w:r>
          </w:p>
        </w:tc>
        <w:tc>
          <w:tcPr>
            <w:tcW w:w="25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4.29.</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Deduction of UK Tax</w:t>
            </w:r>
          </w:p>
        </w:tc>
        <w:tc>
          <w:tcPr>
            <w:tcW w:w="25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4.30.</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Centre of Main Interest</w:t>
            </w:r>
          </w:p>
        </w:tc>
        <w:tc>
          <w:tcPr>
            <w:tcW w:w="25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99"/>
              </w:rPr>
              <w:t>4.31.</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Ranking</w:t>
            </w:r>
          </w:p>
        </w:tc>
        <w:tc>
          <w:tcPr>
            <w:tcW w:w="25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8080" w:type="dxa"/>
            <w:vAlign w:val="bottom"/>
          </w:tcPr>
          <w:p>
            <w:pPr>
              <w:jc w:val="center"/>
              <w:ind w:left="1690"/>
              <w:spacing w:after="0"/>
              <w:rPr>
                <w:sz w:val="20"/>
                <w:szCs w:val="20"/>
                <w:color w:val="auto"/>
              </w:rPr>
            </w:pPr>
            <w:r>
              <w:rPr>
                <w:rFonts w:ascii="Arial" w:cs="Arial" w:eastAsia="Arial" w:hAnsi="Arial"/>
                <w:sz w:val="18"/>
                <w:szCs w:val="18"/>
                <w:color w:val="auto"/>
              </w:rPr>
              <w:t>-ii-</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80" w:type="dxa"/>
            <w:vAlign w:val="bottom"/>
          </w:tcPr>
          <w:p>
            <w:pPr>
              <w:jc w:val="center"/>
              <w:ind w:left="1710"/>
              <w:spacing w:after="0"/>
              <w:rPr>
                <w:sz w:val="20"/>
                <w:szCs w:val="20"/>
                <w:color w:val="auto"/>
              </w:rPr>
            </w:pPr>
            <w:r>
              <w:rPr>
                <w:rFonts w:ascii="Arial" w:cs="Arial" w:eastAsia="Arial" w:hAnsi="Arial"/>
                <w:sz w:val="18"/>
                <w:szCs w:val="18"/>
                <w:b w:val="1"/>
                <w:bCs w:val="1"/>
                <w:color w:val="auto"/>
                <w:w w:val="98"/>
              </w:rPr>
              <w:t>TABLE OF CONTENTS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8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(continued)</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Immaterial Subsidiaries</w:t>
            </w:r>
          </w:p>
        </w:tc>
        <w:tc>
          <w:tcPr>
            <w:tcW w:w="2500" w:type="dxa"/>
            <w:vAlign w:val="bottom"/>
          </w:tcPr>
          <w:p>
            <w:pPr>
              <w:jc w:val="center"/>
              <w:ind w:left="2111"/>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4.32.</w:t>
            </w:r>
          </w:p>
        </w:tc>
        <w:tc>
          <w:tcPr>
            <w:tcW w:w="8080" w:type="dxa"/>
            <w:vAlign w:val="bottom"/>
            <w:vMerge w:val="continue"/>
          </w:tcPr>
          <w:p>
            <w:pPr>
              <w:spacing w:after="0"/>
              <w:rPr>
                <w:sz w:val="20"/>
                <w:szCs w:val="20"/>
                <w:color w:val="auto"/>
              </w:rPr>
            </w:pP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166</w:t>
            </w:r>
          </w:p>
        </w:tc>
        <w:tc>
          <w:tcPr>
            <w:tcW w:w="0" w:type="dxa"/>
            <w:vAlign w:val="bottom"/>
          </w:tcPr>
          <w:p>
            <w:pPr>
              <w:spacing w:after="0"/>
              <w:rPr>
                <w:sz w:val="1"/>
                <w:szCs w:val="1"/>
                <w:color w:val="auto"/>
              </w:rPr>
            </w:pP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8600" w:type="dxa"/>
            <w:vAlign w:val="bottom"/>
            <w:gridSpan w:val="2"/>
          </w:tcPr>
          <w:p>
            <w:pPr>
              <w:ind w:left="100"/>
              <w:spacing w:after="0"/>
              <w:rPr>
                <w:sz w:val="20"/>
                <w:szCs w:val="20"/>
                <w:color w:val="auto"/>
              </w:rPr>
            </w:pPr>
            <w:r>
              <w:rPr>
                <w:rFonts w:ascii="Arial" w:cs="Arial" w:eastAsia="Arial" w:hAnsi="Arial"/>
                <w:sz w:val="18"/>
                <w:szCs w:val="18"/>
                <w:color w:val="auto"/>
              </w:rPr>
              <w:t>AFFIRMATIVE COVENANTS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166</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Reports, Certificates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166</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5.2.</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Reporting</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166</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5.3.</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Existence</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166</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5.4.</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Maintenance of Properties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167</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5.5.</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Taxes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167</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5.6.</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Insurance</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167</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5.7.</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Inspection</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168</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5.8.</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Compliance with Laws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168</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5.9.</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Environmental</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169</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5.10.</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Disclosure Updates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169</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5.11.</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Formation of Subsidiaries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169</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5.12.</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Further Assurances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171</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5.13.</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[Reserved]</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171</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5.14.</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Location of Inventory; Chief Executive Office</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171</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5.15.</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OFAC; Sanctions; Anti-Corruption Laws; Anti-Money Laundering Laws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172</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5.16.</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Bank Products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172</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5.17.</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Canadian Compliance</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172</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5.18.</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Employee Benefits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172</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5.19.</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Centre of Main Interests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5.20.</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People with Significant Control Regime</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5.21.</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UK Loan Party Cash Management Provisions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8600" w:type="dxa"/>
            <w:vAlign w:val="bottom"/>
            <w:gridSpan w:val="2"/>
          </w:tcPr>
          <w:p>
            <w:pPr>
              <w:ind w:left="100"/>
              <w:spacing w:after="0"/>
              <w:rPr>
                <w:sz w:val="20"/>
                <w:szCs w:val="20"/>
                <w:color w:val="auto"/>
              </w:rPr>
            </w:pPr>
            <w:r>
              <w:rPr>
                <w:rFonts w:ascii="Arial" w:cs="Arial" w:eastAsia="Arial" w:hAnsi="Arial"/>
                <w:sz w:val="18"/>
                <w:szCs w:val="18"/>
                <w:color w:val="auto"/>
              </w:rPr>
              <w:t>NEGATIVE COVENANTS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174</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6.1.</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Indebtedness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174</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6.2.</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Liens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174</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6.3.</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Restrictions on Fundamental Changes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174</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6.4.</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Disposal of Assets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175</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6.5.</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Nature of Business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175</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6.6.</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Prepayments and Amendments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175</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6.7.</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Restricted Payments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176</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6.8.</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Accounting Methods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6.9.</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Investments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9"/>
              </w:rPr>
              <w:t>6.10.</w:t>
            </w:r>
          </w:p>
        </w:tc>
        <w:tc>
          <w:tcPr>
            <w:tcW w:w="8080" w:type="dxa"/>
            <w:vAlign w:val="bottom"/>
          </w:tcPr>
          <w:p>
            <w:pPr>
              <w:ind w:left="60"/>
              <w:spacing w:after="0"/>
              <w:rPr>
                <w:sz w:val="20"/>
                <w:szCs w:val="20"/>
                <w:color w:val="auto"/>
              </w:rPr>
            </w:pPr>
            <w:r>
              <w:rPr>
                <w:rFonts w:ascii="Arial" w:cs="Arial" w:eastAsia="Arial" w:hAnsi="Arial"/>
                <w:sz w:val="18"/>
                <w:szCs w:val="18"/>
                <w:b w:val="1"/>
                <w:bCs w:val="1"/>
                <w:color w:val="auto"/>
              </w:rPr>
              <w:t>Transactions with Affiliates</w:t>
            </w:r>
          </w:p>
        </w:tc>
        <w:tc>
          <w:tcPr>
            <w:tcW w:w="2500" w:type="dxa"/>
            <w:vAlign w:val="bottom"/>
          </w:tcPr>
          <w:p>
            <w:pPr>
              <w:jc w:val="center"/>
              <w:ind w:left="2151"/>
              <w:spacing w:after="0"/>
              <w:rPr>
                <w:sz w:val="20"/>
                <w:szCs w:val="20"/>
                <w:color w:val="auto"/>
              </w:rPr>
            </w:pPr>
            <w:r>
              <w:rPr>
                <w:rFonts w:ascii="Arial" w:cs="Arial" w:eastAsia="Arial" w:hAnsi="Arial"/>
                <w:sz w:val="18"/>
                <w:szCs w:val="18"/>
                <w:color w:val="auto"/>
                <w:w w:val="86"/>
              </w:rPr>
              <w:t>177</w:t>
            </w: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80" w:type="dxa"/>
            <w:vAlign w:val="bottom"/>
          </w:tcPr>
          <w:p>
            <w:pPr>
              <w:jc w:val="center"/>
              <w:ind w:left="1690"/>
              <w:spacing w:after="0"/>
              <w:rPr>
                <w:sz w:val="20"/>
                <w:szCs w:val="20"/>
                <w:color w:val="auto"/>
              </w:rPr>
            </w:pPr>
            <w:r>
              <w:rPr>
                <w:rFonts w:ascii="Arial" w:cs="Arial" w:eastAsia="Arial" w:hAnsi="Arial"/>
                <w:sz w:val="18"/>
                <w:szCs w:val="18"/>
                <w:color w:val="auto"/>
              </w:rPr>
              <w:t>-iii-</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(continued)</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Use of Proceeds</w:t>
            </w:r>
          </w:p>
        </w:tc>
        <w:tc>
          <w:tcPr>
            <w:tcW w:w="1980" w:type="dxa"/>
            <w:vAlign w:val="bottom"/>
          </w:tcPr>
          <w:p>
            <w:pPr>
              <w:jc w:val="center"/>
              <w:ind w:left="1591"/>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6.11.</w:t>
            </w:r>
          </w:p>
        </w:tc>
        <w:tc>
          <w:tcPr>
            <w:tcW w:w="8600" w:type="dxa"/>
            <w:vAlign w:val="bottom"/>
            <w:vMerge w:val="continue"/>
          </w:tcPr>
          <w:p>
            <w:pPr>
              <w:spacing w:after="0"/>
              <w:rPr>
                <w:sz w:val="20"/>
                <w:szCs w:val="20"/>
                <w:color w:val="auto"/>
              </w:rPr>
            </w:pP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6.12.</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Limitation on Issuance of Equity Interests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6.13.</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Inventory with Bailees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6.14.</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Canadian Employee Benefits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9080" w:type="dxa"/>
            <w:vAlign w:val="bottom"/>
            <w:gridSpan w:val="2"/>
          </w:tcPr>
          <w:p>
            <w:pPr>
              <w:ind w:left="60"/>
              <w:spacing w:after="0"/>
              <w:rPr>
                <w:sz w:val="20"/>
                <w:szCs w:val="20"/>
                <w:color w:val="auto"/>
              </w:rPr>
            </w:pPr>
            <w:r>
              <w:rPr>
                <w:rFonts w:ascii="Arial" w:cs="Arial" w:eastAsia="Arial" w:hAnsi="Arial"/>
                <w:sz w:val="18"/>
                <w:szCs w:val="18"/>
                <w:color w:val="auto"/>
              </w:rPr>
              <w:t>FINANCIAL COVENANTS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179</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9080" w:type="dxa"/>
            <w:vAlign w:val="bottom"/>
            <w:gridSpan w:val="2"/>
          </w:tcPr>
          <w:p>
            <w:pPr>
              <w:ind w:left="60"/>
              <w:spacing w:after="0"/>
              <w:rPr>
                <w:sz w:val="20"/>
                <w:szCs w:val="20"/>
                <w:color w:val="auto"/>
              </w:rPr>
            </w:pPr>
            <w:r>
              <w:rPr>
                <w:rFonts w:ascii="Arial" w:cs="Arial" w:eastAsia="Arial" w:hAnsi="Arial"/>
                <w:sz w:val="18"/>
                <w:szCs w:val="18"/>
                <w:color w:val="auto"/>
              </w:rPr>
              <w:t>EVENTS OF DEFAULT</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179</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8.1.</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Payments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179</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8.2.</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Covenants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179</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8.3.</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Judgments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180</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8.4.</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Voluntary Bankruptcy, etc.</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180</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8.5.</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Involuntary Bankruptcy, etc.</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180</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8.6.</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Default Under Other Agreements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180</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8.7.</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Representations, etc.</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180</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8.8.</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Guaranty</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180</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8.9.</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Security Documents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8.10.</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Loan Documents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8.11.</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Change of Control</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8.12.</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UK Insolvency</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9080" w:type="dxa"/>
            <w:vAlign w:val="bottom"/>
            <w:gridSpan w:val="2"/>
          </w:tcPr>
          <w:p>
            <w:pPr>
              <w:ind w:left="60"/>
              <w:spacing w:after="0"/>
              <w:rPr>
                <w:sz w:val="20"/>
                <w:szCs w:val="20"/>
                <w:color w:val="auto"/>
              </w:rPr>
            </w:pPr>
            <w:r>
              <w:rPr>
                <w:rFonts w:ascii="Arial" w:cs="Arial" w:eastAsia="Arial" w:hAnsi="Arial"/>
                <w:sz w:val="18"/>
                <w:szCs w:val="18"/>
                <w:color w:val="auto"/>
              </w:rPr>
              <w:t>RIGHTS AND REMEDIES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9.1.</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Rights and Remedies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9.2.</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Remedies Cumulative</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182</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9080" w:type="dxa"/>
            <w:vAlign w:val="bottom"/>
            <w:gridSpan w:val="2"/>
          </w:tcPr>
          <w:p>
            <w:pPr>
              <w:ind w:left="100"/>
              <w:spacing w:after="0"/>
              <w:rPr>
                <w:sz w:val="20"/>
                <w:szCs w:val="20"/>
                <w:color w:val="auto"/>
              </w:rPr>
            </w:pPr>
            <w:r>
              <w:rPr>
                <w:rFonts w:ascii="Arial" w:cs="Arial" w:eastAsia="Arial" w:hAnsi="Arial"/>
                <w:sz w:val="18"/>
                <w:szCs w:val="18"/>
                <w:color w:val="auto"/>
              </w:rPr>
              <w:t>WAIVERS; INDEMNIFICATION</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182</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10.1.</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Demand; Protest; etc.</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182</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10.2.</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The Lender Group’s Liability for Collateral</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182</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10.3.</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Indemnification</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182</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9080" w:type="dxa"/>
            <w:vAlign w:val="bottom"/>
            <w:gridSpan w:val="2"/>
          </w:tcPr>
          <w:p>
            <w:pPr>
              <w:ind w:left="100"/>
              <w:spacing w:after="0"/>
              <w:rPr>
                <w:sz w:val="20"/>
                <w:szCs w:val="20"/>
                <w:color w:val="auto"/>
              </w:rPr>
            </w:pPr>
            <w:r>
              <w:rPr>
                <w:rFonts w:ascii="Arial" w:cs="Arial" w:eastAsia="Arial" w:hAnsi="Arial"/>
                <w:sz w:val="18"/>
                <w:szCs w:val="18"/>
                <w:color w:val="auto"/>
              </w:rPr>
              <w:t>NOTICES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184</w:t>
            </w:r>
          </w:p>
        </w:tc>
        <w:tc>
          <w:tcPr>
            <w:tcW w:w="0" w:type="dxa"/>
            <w:vAlign w:val="bottom"/>
          </w:tcPr>
          <w:p>
            <w:pPr>
              <w:spacing w:after="0"/>
              <w:rPr>
                <w:sz w:val="1"/>
                <w:szCs w:val="1"/>
                <w:color w:val="auto"/>
              </w:rPr>
            </w:pPr>
          </w:p>
        </w:tc>
      </w:tr>
      <w:tr>
        <w:trPr>
          <w:trHeight w:val="324"/>
        </w:trPr>
        <w:tc>
          <w:tcPr>
            <w:tcW w:w="9380" w:type="dxa"/>
            <w:vAlign w:val="bottom"/>
            <w:gridSpan w:val="3"/>
          </w:tcPr>
          <w:p>
            <w:pPr>
              <w:spacing w:after="0"/>
              <w:rPr>
                <w:sz w:val="20"/>
                <w:szCs w:val="20"/>
                <w:color w:val="auto"/>
              </w:rPr>
            </w:pPr>
            <w:r>
              <w:rPr>
                <w:rFonts w:ascii="Arial" w:cs="Arial" w:eastAsia="Arial" w:hAnsi="Arial"/>
                <w:sz w:val="18"/>
                <w:szCs w:val="18"/>
                <w:color w:val="auto"/>
              </w:rPr>
              <w:t>12.  CHOICE OF LAW AND VENUE; JURY TRIAL WAIVER; JUDICIAL REFERENCE PROVISION</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185</w:t>
            </w:r>
          </w:p>
        </w:tc>
        <w:tc>
          <w:tcPr>
            <w:tcW w:w="0" w:type="dxa"/>
            <w:vAlign w:val="bottom"/>
          </w:tcPr>
          <w:p>
            <w:pPr>
              <w:spacing w:after="0"/>
              <w:rPr>
                <w:sz w:val="1"/>
                <w:szCs w:val="1"/>
                <w:color w:val="auto"/>
              </w:rPr>
            </w:pPr>
          </w:p>
        </w:tc>
      </w:tr>
      <w:tr>
        <w:trPr>
          <w:trHeight w:val="324"/>
        </w:trPr>
        <w:tc>
          <w:tcPr>
            <w:tcW w:w="9380" w:type="dxa"/>
            <w:vAlign w:val="bottom"/>
            <w:gridSpan w:val="3"/>
          </w:tcPr>
          <w:p>
            <w:pPr>
              <w:spacing w:after="0"/>
              <w:rPr>
                <w:sz w:val="20"/>
                <w:szCs w:val="20"/>
                <w:color w:val="auto"/>
              </w:rPr>
            </w:pPr>
            <w:r>
              <w:rPr>
                <w:rFonts w:ascii="Arial" w:cs="Arial" w:eastAsia="Arial" w:hAnsi="Arial"/>
                <w:sz w:val="18"/>
                <w:szCs w:val="18"/>
                <w:color w:val="auto"/>
              </w:rPr>
              <w:t>13.  ASSIGNMENTS AND PARTICIPATIONS; SUCCESSORS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186</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13.1.</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Assignments and Participations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186</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13.2.</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Successors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191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9080" w:type="dxa"/>
            <w:vAlign w:val="bottom"/>
            <w:gridSpan w:val="2"/>
          </w:tcPr>
          <w:p>
            <w:pPr>
              <w:ind w:left="100"/>
              <w:spacing w:after="0"/>
              <w:rPr>
                <w:sz w:val="20"/>
                <w:szCs w:val="20"/>
                <w:color w:val="auto"/>
              </w:rPr>
            </w:pPr>
            <w:r>
              <w:rPr>
                <w:rFonts w:ascii="Arial" w:cs="Arial" w:eastAsia="Arial" w:hAnsi="Arial"/>
                <w:sz w:val="18"/>
                <w:szCs w:val="18"/>
                <w:color w:val="auto"/>
              </w:rPr>
              <w:t>AMENDMENTS; WAIVERS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191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14.1.</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Amendments and Waivers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191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14.2.</w:t>
            </w:r>
          </w:p>
        </w:tc>
        <w:tc>
          <w:tcPr>
            <w:tcW w:w="8600" w:type="dxa"/>
            <w:vAlign w:val="bottom"/>
          </w:tcPr>
          <w:p>
            <w:pPr>
              <w:ind w:left="60"/>
              <w:spacing w:after="0"/>
              <w:rPr>
                <w:sz w:val="20"/>
                <w:szCs w:val="20"/>
                <w:color w:val="auto"/>
              </w:rPr>
            </w:pPr>
            <w:r>
              <w:rPr>
                <w:rFonts w:ascii="Arial" w:cs="Arial" w:eastAsia="Arial" w:hAnsi="Arial"/>
                <w:sz w:val="18"/>
                <w:szCs w:val="18"/>
                <w:b w:val="1"/>
                <w:bCs w:val="1"/>
                <w:color w:val="auto"/>
              </w:rPr>
              <w:t>Replacement of Certain Lenders</w:t>
            </w:r>
          </w:p>
        </w:tc>
        <w:tc>
          <w:tcPr>
            <w:tcW w:w="1980" w:type="dxa"/>
            <w:vAlign w:val="bottom"/>
          </w:tcPr>
          <w:p>
            <w:pPr>
              <w:jc w:val="center"/>
              <w:ind w:left="1631"/>
              <w:spacing w:after="0"/>
              <w:rPr>
                <w:sz w:val="20"/>
                <w:szCs w:val="20"/>
                <w:color w:val="auto"/>
              </w:rPr>
            </w:pPr>
            <w:r>
              <w:rPr>
                <w:rFonts w:ascii="Arial" w:cs="Arial" w:eastAsia="Arial" w:hAnsi="Arial"/>
                <w:sz w:val="18"/>
                <w:szCs w:val="18"/>
                <w:color w:val="auto"/>
                <w:w w:val="86"/>
              </w:rPr>
              <w:t>193</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0" w:type="dxa"/>
            <w:vAlign w:val="bottom"/>
          </w:tcPr>
          <w:p>
            <w:pPr>
              <w:jc w:val="center"/>
              <w:ind w:left="1170"/>
              <w:spacing w:after="0"/>
              <w:rPr>
                <w:sz w:val="20"/>
                <w:szCs w:val="20"/>
                <w:color w:val="auto"/>
              </w:rPr>
            </w:pPr>
            <w:r>
              <w:rPr>
                <w:rFonts w:ascii="Arial" w:cs="Arial" w:eastAsia="Arial" w:hAnsi="Arial"/>
                <w:sz w:val="18"/>
                <w:szCs w:val="18"/>
                <w:color w:val="auto"/>
              </w:rPr>
              <w:t>-iv-</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02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TABLE OF CONTENTS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9020" w:type="dxa"/>
            <w:vAlign w:val="bottom"/>
          </w:tcPr>
          <w:p>
            <w:pPr>
              <w:jc w:val="center"/>
              <w:ind w:left="610"/>
              <w:spacing w:after="0"/>
              <w:rPr>
                <w:sz w:val="20"/>
                <w:szCs w:val="20"/>
                <w:color w:val="auto"/>
              </w:rPr>
            </w:pPr>
            <w:r>
              <w:rPr>
                <w:rFonts w:ascii="Arial" w:cs="Arial" w:eastAsia="Arial" w:hAnsi="Arial"/>
                <w:sz w:val="18"/>
                <w:szCs w:val="18"/>
                <w:b w:val="1"/>
                <w:bCs w:val="1"/>
                <w:color w:val="auto"/>
                <w:w w:val="89"/>
              </w:rPr>
              <w:t>(continued)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860" w:type="dxa"/>
            <w:vAlign w:val="bottom"/>
          </w:tcPr>
          <w:p>
            <w:pPr>
              <w:spacing w:after="0"/>
              <w:rPr>
                <w:sz w:val="24"/>
                <w:szCs w:val="24"/>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No Waivers; Cumulative Remedies</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14.3.</w:t>
            </w:r>
          </w:p>
        </w:tc>
        <w:tc>
          <w:tcPr>
            <w:tcW w:w="9020" w:type="dxa"/>
            <w:vAlign w:val="bottom"/>
            <w:vMerge w:val="continue"/>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324"/>
        </w:trPr>
        <w:tc>
          <w:tcPr>
            <w:tcW w:w="9880" w:type="dxa"/>
            <w:vAlign w:val="bottom"/>
            <w:gridSpan w:val="2"/>
          </w:tcPr>
          <w:p>
            <w:pPr>
              <w:spacing w:after="0"/>
              <w:rPr>
                <w:sz w:val="20"/>
                <w:szCs w:val="20"/>
                <w:color w:val="auto"/>
              </w:rPr>
            </w:pPr>
            <w:r>
              <w:rPr>
                <w:rFonts w:ascii="Arial" w:cs="Arial" w:eastAsia="Arial" w:hAnsi="Arial"/>
                <w:sz w:val="18"/>
                <w:szCs w:val="18"/>
                <w:color w:val="auto"/>
              </w:rPr>
              <w:t>15.  AGENT; THE LENDER GROUP</w:t>
            </w:r>
          </w:p>
        </w:tc>
        <w:tc>
          <w:tcPr>
            <w:tcW w:w="14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15.1.</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Appointment and Authorization of Agent</w:t>
            </w:r>
          </w:p>
        </w:tc>
        <w:tc>
          <w:tcPr>
            <w:tcW w:w="14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15.2.</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Delegation of Duties</w:t>
            </w:r>
          </w:p>
        </w:tc>
        <w:tc>
          <w:tcPr>
            <w:tcW w:w="14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15.3.</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Liability of Agent</w:t>
            </w:r>
          </w:p>
        </w:tc>
        <w:tc>
          <w:tcPr>
            <w:tcW w:w="14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15.4.</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Reliance by Agent</w:t>
            </w:r>
          </w:p>
        </w:tc>
        <w:tc>
          <w:tcPr>
            <w:tcW w:w="14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Notice of Default or Event of Default</w:t>
            </w:r>
          </w:p>
        </w:tc>
        <w:tc>
          <w:tcPr>
            <w:tcW w:w="14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15.6.</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Credit Decision</w:t>
            </w:r>
          </w:p>
        </w:tc>
        <w:tc>
          <w:tcPr>
            <w:tcW w:w="14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15.7.</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Costs and Expenses; Indemnification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15.8.</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Agent in Individual Capacity</w:t>
            </w: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15.9.</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Successor Agent</w:t>
            </w: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15.10.</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Lender in Individual Capacity</w:t>
            </w:r>
          </w:p>
        </w:tc>
        <w:tc>
          <w:tcPr>
            <w:tcW w:w="14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15.11.</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Collateral Matters</w:t>
            </w:r>
          </w:p>
        </w:tc>
        <w:tc>
          <w:tcPr>
            <w:tcW w:w="14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15.12.</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Restrictions on Actions by Lenders; Sharing of Payments</w:t>
            </w:r>
          </w:p>
        </w:tc>
        <w:tc>
          <w:tcPr>
            <w:tcW w:w="14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15.13.</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Agency for Perfection</w:t>
            </w:r>
          </w:p>
        </w:tc>
        <w:tc>
          <w:tcPr>
            <w:tcW w:w="14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15.14.</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Payments by Agent to the Lenders</w:t>
            </w:r>
          </w:p>
        </w:tc>
        <w:tc>
          <w:tcPr>
            <w:tcW w:w="14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Concerning the Collateral and Related Loan Documents</w:t>
            </w:r>
          </w:p>
        </w:tc>
        <w:tc>
          <w:tcPr>
            <w:tcW w:w="14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15.16.</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Field Examination Reports; Confidentiality; Disclaimers by Lenders; Other Reports and Information</w:t>
            </w:r>
          </w:p>
        </w:tc>
        <w:tc>
          <w:tcPr>
            <w:tcW w:w="14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15.17.</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Several Obligations; No Liability</w:t>
            </w:r>
          </w:p>
        </w:tc>
        <w:tc>
          <w:tcPr>
            <w:tcW w:w="148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15.18.</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Joint Lead Arrangers, Joint Book Runners, Co-Syndication Agents, and Documentation Agents</w:t>
            </w:r>
          </w:p>
        </w:tc>
        <w:tc>
          <w:tcPr>
            <w:tcW w:w="14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15.19.</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Appointment for the Province of Quebec</w:t>
            </w:r>
          </w:p>
        </w:tc>
        <w:tc>
          <w:tcPr>
            <w:tcW w:w="14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24"/>
        </w:trPr>
        <w:tc>
          <w:tcPr>
            <w:tcW w:w="9880" w:type="dxa"/>
            <w:vAlign w:val="bottom"/>
            <w:gridSpan w:val="2"/>
          </w:tcPr>
          <w:p>
            <w:pPr>
              <w:spacing w:after="0"/>
              <w:rPr>
                <w:sz w:val="20"/>
                <w:szCs w:val="20"/>
                <w:color w:val="auto"/>
              </w:rPr>
            </w:pPr>
            <w:r>
              <w:rPr>
                <w:rFonts w:ascii="Arial" w:cs="Arial" w:eastAsia="Arial" w:hAnsi="Arial"/>
                <w:sz w:val="18"/>
                <w:szCs w:val="18"/>
                <w:color w:val="auto"/>
              </w:rPr>
              <w:t>16.  WITHHOLDING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16.1.</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Payments</w:t>
            </w:r>
          </w:p>
        </w:tc>
        <w:tc>
          <w:tcPr>
            <w:tcW w:w="14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16.2.</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Exemptions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16.3.</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Reductions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16.4.</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Refunds</w:t>
            </w:r>
          </w:p>
        </w:tc>
        <w:tc>
          <w:tcPr>
            <w:tcW w:w="14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UK Tax Gross-Up</w:t>
            </w:r>
          </w:p>
        </w:tc>
        <w:tc>
          <w:tcPr>
            <w:tcW w:w="14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16.6.</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UK Tax Indemnity</w:t>
            </w:r>
          </w:p>
        </w:tc>
        <w:tc>
          <w:tcPr>
            <w:tcW w:w="14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16.7.</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UK Tax Credit</w:t>
            </w: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16.8.</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Lender Status Confirmation</w:t>
            </w: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16.9.</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Stamp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16.10.</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Value Added Tax</w:t>
            </w:r>
          </w:p>
        </w:tc>
        <w:tc>
          <w:tcPr>
            <w:tcW w:w="14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9020" w:type="dxa"/>
            <w:vAlign w:val="bottom"/>
          </w:tcPr>
          <w:p>
            <w:pPr>
              <w:jc w:val="center"/>
              <w:ind w:left="590"/>
              <w:spacing w:after="0"/>
              <w:rPr>
                <w:sz w:val="20"/>
                <w:szCs w:val="20"/>
                <w:color w:val="auto"/>
              </w:rPr>
            </w:pPr>
            <w:r>
              <w:rPr>
                <w:rFonts w:ascii="Arial" w:cs="Arial" w:eastAsia="Arial" w:hAnsi="Arial"/>
                <w:sz w:val="18"/>
                <w:szCs w:val="18"/>
                <w:color w:val="auto"/>
              </w:rPr>
              <w:t>-v-</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8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8"/>
              </w:rPr>
              <w:t>TABLE OF CONTENTS</w:t>
            </w:r>
          </w:p>
        </w:tc>
        <w:tc>
          <w:tcPr>
            <w:tcW w:w="250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800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(continued)</w:t>
            </w:r>
          </w:p>
        </w:tc>
        <w:tc>
          <w:tcPr>
            <w:tcW w:w="2500" w:type="dxa"/>
            <w:vAlign w:val="bottom"/>
          </w:tcPr>
          <w:p>
            <w:pPr>
              <w:spacing w:after="0"/>
              <w:rPr>
                <w:sz w:val="24"/>
                <w:szCs w:val="24"/>
                <w:color w:val="auto"/>
              </w:rPr>
            </w:pPr>
          </w:p>
        </w:tc>
      </w:tr>
      <w:tr>
        <w:trPr>
          <w:trHeight w:val="485"/>
        </w:trPr>
        <w:tc>
          <w:tcPr>
            <w:tcW w:w="8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17.  GENERAL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17.1.</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Effectiveness</w:t>
            </w:r>
          </w:p>
        </w:tc>
        <w:tc>
          <w:tcPr>
            <w:tcW w:w="25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17.2.</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Section Headings</w:t>
            </w:r>
          </w:p>
        </w:tc>
        <w:tc>
          <w:tcPr>
            <w:tcW w:w="25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17.3.</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Interpretation</w:t>
            </w:r>
          </w:p>
        </w:tc>
        <w:tc>
          <w:tcPr>
            <w:tcW w:w="25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17.4.</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Severability of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17.5.</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Bank Product Providers</w:t>
            </w:r>
          </w:p>
        </w:tc>
        <w:tc>
          <w:tcPr>
            <w:tcW w:w="25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17.6.</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Debtor-Creditor Relationship</w:t>
            </w:r>
          </w:p>
        </w:tc>
        <w:tc>
          <w:tcPr>
            <w:tcW w:w="25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17.7.</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Counterparts; Electronic Execution</w:t>
            </w:r>
          </w:p>
        </w:tc>
        <w:tc>
          <w:tcPr>
            <w:tcW w:w="25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17.8.</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Revival and Reinstatement of Obligations; Certain Waivers</w:t>
            </w:r>
          </w:p>
        </w:tc>
        <w:tc>
          <w:tcPr>
            <w:tcW w:w="25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rPr>
              <w:t>17.9.</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Confidentiality</w:t>
            </w:r>
          </w:p>
        </w:tc>
        <w:tc>
          <w:tcPr>
            <w:tcW w:w="25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17.10.</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Survival</w:t>
            </w:r>
          </w:p>
        </w:tc>
        <w:tc>
          <w:tcPr>
            <w:tcW w:w="25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17.11.</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Patriot Act; Due Diligence</w:t>
            </w:r>
          </w:p>
        </w:tc>
        <w:tc>
          <w:tcPr>
            <w:tcW w:w="25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17.12.</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Integration</w:t>
            </w:r>
          </w:p>
        </w:tc>
        <w:tc>
          <w:tcPr>
            <w:tcW w:w="25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17.13.</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DNOW as Agent for Borrowers</w:t>
            </w:r>
          </w:p>
        </w:tc>
        <w:tc>
          <w:tcPr>
            <w:tcW w:w="25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17.14.</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Acknowledgement and Consent to Bail-In of EEA Financial Institutions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17.15.</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Judgment Currency</w:t>
            </w:r>
          </w:p>
        </w:tc>
        <w:tc>
          <w:tcPr>
            <w:tcW w:w="25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17.16.</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No Setoff</w:t>
            </w:r>
          </w:p>
        </w:tc>
        <w:tc>
          <w:tcPr>
            <w:tcW w:w="25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324"/>
        </w:trPr>
        <w:tc>
          <w:tcPr>
            <w:tcW w:w="860" w:type="dxa"/>
            <w:vAlign w:val="bottom"/>
          </w:tcPr>
          <w:p>
            <w:pPr>
              <w:ind w:left="360"/>
              <w:spacing w:after="0"/>
              <w:rPr>
                <w:sz w:val="20"/>
                <w:szCs w:val="20"/>
                <w:color w:val="auto"/>
              </w:rPr>
            </w:pPr>
            <w:r>
              <w:rPr>
                <w:rFonts w:ascii="Arial" w:cs="Arial" w:eastAsia="Arial" w:hAnsi="Arial"/>
                <w:sz w:val="18"/>
                <w:szCs w:val="18"/>
                <w:color w:val="auto"/>
                <w:w w:val="95"/>
              </w:rPr>
              <w:t>17.17.</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CAM Exchange</w:t>
            </w:r>
          </w:p>
        </w:tc>
        <w:tc>
          <w:tcPr>
            <w:tcW w:w="25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365"/>
        </w:trPr>
        <w:tc>
          <w:tcPr>
            <w:tcW w:w="860" w:type="dxa"/>
            <w:vAlign w:val="bottom"/>
          </w:tcPr>
          <w:p>
            <w:pPr>
              <w:spacing w:after="0"/>
              <w:rPr>
                <w:sz w:val="24"/>
                <w:szCs w:val="24"/>
                <w:color w:val="auto"/>
              </w:rPr>
            </w:pPr>
          </w:p>
        </w:tc>
        <w:tc>
          <w:tcPr>
            <w:tcW w:w="8000" w:type="dxa"/>
            <w:vAlign w:val="bottom"/>
          </w:tcPr>
          <w:p>
            <w:pPr>
              <w:jc w:val="center"/>
              <w:ind w:left="1610"/>
              <w:spacing w:after="0"/>
              <w:rPr>
                <w:sz w:val="20"/>
                <w:szCs w:val="20"/>
                <w:color w:val="auto"/>
              </w:rPr>
            </w:pPr>
            <w:r>
              <w:rPr>
                <w:rFonts w:ascii="Arial" w:cs="Arial" w:eastAsia="Arial" w:hAnsi="Arial"/>
                <w:sz w:val="18"/>
                <w:szCs w:val="18"/>
                <w:color w:val="auto"/>
              </w:rPr>
              <w:t>-vi-</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 AND SCHEDULES</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Exhibit A-1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Exhibit B-1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B-2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C-1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L-1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P-1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Borrowing Base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Bank Product Provider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Non-Base Rate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Joinder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Perfection Certificate</w:t>
      </w:r>
    </w:p>
    <w:p>
      <w:pPr>
        <w:spacing w:after="0" w:line="103" w:lineRule="exact"/>
        <w:rPr>
          <w:sz w:val="20"/>
          <w:szCs w:val="20"/>
          <w:color w:val="auto"/>
        </w:rPr>
      </w:pPr>
    </w:p>
    <w:p>
      <w:pPr>
        <w:sectPr>
          <w:pgSz w:w="11900" w:h="16838" w:orient="portrait"/>
          <w:cols w:equalWidth="0" w:num="2">
            <w:col w:w="2020" w:space="720"/>
            <w:col w:w="7479"/>
          </w:cols>
          <w:pgMar w:left="240" w:top="27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Schedule A-1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A-2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A-3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A-4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C-1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D-1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D-2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D-3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E-1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P-1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P-2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Schedule 4.1(b)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4.1(c)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4.1(d)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 4.10(a)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4.11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Agent’s Canadian 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Agent’s UK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Agent’s US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Designated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Designated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Designated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Property Collateral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Conditions Precedent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Conditions Precedent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Conditions Subsequent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Capitalization of Parent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Capitalization of Parent’s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Subscriptions, Options, Warrants, Calls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 of Inventory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Immaterial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Reports, Certificates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Collateral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143" w:lineRule="exact"/>
        <w:rPr>
          <w:sz w:val="20"/>
          <w:szCs w:val="20"/>
          <w:color w:val="auto"/>
        </w:rPr>
      </w:pPr>
    </w:p>
    <w:p>
      <w:pPr>
        <w:sectPr>
          <w:pgSz w:w="11900" w:h="16838" w:orient="portrait"/>
          <w:cols w:equalWidth="0" w:num="2">
            <w:col w:w="2020" w:space="720"/>
            <w:col w:w="7479"/>
          </w:cols>
          <w:pgMar w:left="240" w:top="270" w:right="1440" w:bottom="1440" w:gutter="0" w:footer="0" w:header="0"/>
          <w:type w:val="continuous"/>
        </w:sectPr>
      </w:pPr>
    </w:p>
    <w:p>
      <w:pPr>
        <w:ind w:left="556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219"/>
          </w:cols>
          <w:pgMar w:left="240" w:top="270" w:right="1440"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22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b w:val="1"/>
          <w:bCs w:val="1"/>
          <w:color w:val="auto"/>
        </w:rPr>
        <w:t>THIS CREDIT AGREEMENT</w:t>
      </w:r>
      <w:r>
        <w:rPr>
          <w:rFonts w:ascii="Arial" w:cs="Arial" w:eastAsia="Arial" w:hAnsi="Arial"/>
          <w:sz w:val="16"/>
          <w:szCs w:val="16"/>
          <w:color w:val="auto"/>
        </w:rPr>
        <w:t>, is entered into as of April 30, 2018 by and among the lenders identified on the signature pages hereof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lenders, together with its successors and permitted assigns, is referred to hereinafter as a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as that term is hereinafter further defined), </w:t>
      </w:r>
      <w:r>
        <w:rPr>
          <w:rFonts w:ascii="Arial" w:cs="Arial" w:eastAsia="Arial" w:hAnsi="Arial"/>
          <w:sz w:val="16"/>
          <w:szCs w:val="16"/>
          <w:b w:val="1"/>
          <w:bCs w:val="1"/>
          <w:color w:val="auto"/>
        </w:rPr>
        <w:t>WELLS</w:t>
      </w:r>
      <w:r>
        <w:rPr>
          <w:rFonts w:ascii="Arial" w:cs="Arial" w:eastAsia="Arial" w:hAnsi="Arial"/>
          <w:sz w:val="16"/>
          <w:szCs w:val="16"/>
          <w:color w:val="auto"/>
        </w:rPr>
        <w:t xml:space="preserve"> </w:t>
      </w:r>
      <w:r>
        <w:rPr>
          <w:rFonts w:ascii="Arial" w:cs="Arial" w:eastAsia="Arial" w:hAnsi="Arial"/>
          <w:sz w:val="16"/>
          <w:szCs w:val="16"/>
          <w:b w:val="1"/>
          <w:bCs w:val="1"/>
          <w:color w:val="auto"/>
        </w:rPr>
        <w:t>FARGO BANK, NATIONAL ASSOCIATION</w:t>
      </w:r>
      <w:r>
        <w:rPr>
          <w:rFonts w:ascii="Arial" w:cs="Arial" w:eastAsia="Arial" w:hAnsi="Arial"/>
          <w:sz w:val="16"/>
          <w:szCs w:val="16"/>
          <w:color w:val="auto"/>
        </w:rPr>
        <w:t>, a national banking association, as administrative agent for each member of the Lender Group and the Bank</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Providers (in such capacity, together with its successors and assigns in such capacity,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w:t>
      </w:r>
      <w:r>
        <w:rPr>
          <w:rFonts w:ascii="Arial" w:cs="Arial" w:eastAsia="Arial" w:hAnsi="Arial"/>
          <w:sz w:val="16"/>
          <w:szCs w:val="16"/>
          <w:b w:val="1"/>
          <w:bCs w:val="1"/>
          <w:color w:val="auto"/>
        </w:rPr>
        <w:t>WELLS FARGO BANK, NATIONAL</w:t>
      </w:r>
      <w:r>
        <w:rPr>
          <w:rFonts w:ascii="Arial" w:cs="Arial" w:eastAsia="Arial" w:hAnsi="Arial"/>
          <w:sz w:val="16"/>
          <w:szCs w:val="16"/>
          <w:color w:val="auto"/>
        </w:rPr>
        <w:t xml:space="preserve"> </w:t>
      </w:r>
      <w:r>
        <w:rPr>
          <w:rFonts w:ascii="Arial" w:cs="Arial" w:eastAsia="Arial" w:hAnsi="Arial"/>
          <w:sz w:val="16"/>
          <w:szCs w:val="16"/>
          <w:b w:val="1"/>
          <w:bCs w:val="1"/>
          <w:color w:val="auto"/>
        </w:rPr>
        <w:t>ASSOCIATION</w:t>
      </w:r>
      <w:r>
        <w:rPr>
          <w:rFonts w:ascii="Arial" w:cs="Arial" w:eastAsia="Arial" w:hAnsi="Arial"/>
          <w:sz w:val="16"/>
          <w:szCs w:val="16"/>
          <w:color w:val="auto"/>
        </w:rPr>
        <w:t>,</w:t>
      </w:r>
      <w:r>
        <w:rPr>
          <w:rFonts w:ascii="Arial" w:cs="Arial" w:eastAsia="Arial" w:hAnsi="Arial"/>
          <w:sz w:val="16"/>
          <w:szCs w:val="16"/>
          <w:b w:val="1"/>
          <w:bCs w:val="1"/>
          <w:color w:val="auto"/>
        </w:rPr>
        <w:t xml:space="preserve"> JPMORGAN CHASE BANK, N.A. </w:t>
      </w:r>
      <w:r>
        <w:rPr>
          <w:rFonts w:ascii="Arial" w:cs="Arial" w:eastAsia="Arial" w:hAnsi="Arial"/>
          <w:sz w:val="16"/>
          <w:szCs w:val="16"/>
          <w:color w:val="auto"/>
        </w:rPr>
        <w:t>and</w:t>
      </w:r>
      <w:r>
        <w:rPr>
          <w:rFonts w:ascii="Arial" w:cs="Arial" w:eastAsia="Arial" w:hAnsi="Arial"/>
          <w:sz w:val="16"/>
          <w:szCs w:val="16"/>
          <w:b w:val="1"/>
          <w:bCs w:val="1"/>
          <w:color w:val="auto"/>
        </w:rPr>
        <w:t xml:space="preserve"> ROYAL BANK OF CANADA</w:t>
      </w:r>
      <w:r>
        <w:rPr>
          <w:rFonts w:ascii="Arial" w:cs="Arial" w:eastAsia="Arial" w:hAnsi="Arial"/>
          <w:sz w:val="16"/>
          <w:szCs w:val="16"/>
          <w:color w:val="auto"/>
        </w:rPr>
        <w:t>, each as a joint lead arranger (in such capacity, together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successors and assigns in such capacity, the “</w:t>
      </w:r>
      <w:r>
        <w:rPr>
          <w:rFonts w:ascii="Arial" w:cs="Arial" w:eastAsia="Arial" w:hAnsi="Arial"/>
          <w:sz w:val="16"/>
          <w:szCs w:val="16"/>
          <w:u w:val="single" w:color="auto"/>
          <w:color w:val="auto"/>
        </w:rPr>
        <w:t>Joint Lead Arrangers</w:t>
      </w:r>
      <w:r>
        <w:rPr>
          <w:rFonts w:ascii="Arial" w:cs="Arial" w:eastAsia="Arial" w:hAnsi="Arial"/>
          <w:sz w:val="16"/>
          <w:szCs w:val="16"/>
          <w:color w:val="auto"/>
        </w:rPr>
        <w:t xml:space="preserve">”), </w:t>
      </w: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xml:space="preserve">, </w:t>
      </w:r>
      <w:r>
        <w:rPr>
          <w:rFonts w:ascii="Arial" w:cs="Arial" w:eastAsia="Arial" w:hAnsi="Arial"/>
          <w:sz w:val="16"/>
          <w:szCs w:val="16"/>
          <w:b w:val="1"/>
          <w:bCs w:val="1"/>
          <w:color w:val="auto"/>
        </w:rPr>
        <w:t>JPMORGAN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CHASE BANK, N.A. </w:t>
      </w:r>
      <w:r>
        <w:rPr>
          <w:rFonts w:ascii="Arial" w:cs="Arial" w:eastAsia="Arial" w:hAnsi="Arial"/>
          <w:sz w:val="16"/>
          <w:szCs w:val="16"/>
          <w:color w:val="auto"/>
        </w:rPr>
        <w:t>and</w:t>
      </w:r>
      <w:r>
        <w:rPr>
          <w:rFonts w:ascii="Arial" w:cs="Arial" w:eastAsia="Arial" w:hAnsi="Arial"/>
          <w:sz w:val="16"/>
          <w:szCs w:val="16"/>
          <w:b w:val="1"/>
          <w:bCs w:val="1"/>
          <w:color w:val="auto"/>
        </w:rPr>
        <w:t xml:space="preserve"> ROYAL BANK OF CANADA</w:t>
      </w:r>
      <w:r>
        <w:rPr>
          <w:rFonts w:ascii="Arial" w:cs="Arial" w:eastAsia="Arial" w:hAnsi="Arial"/>
          <w:sz w:val="16"/>
          <w:szCs w:val="16"/>
          <w:color w:val="auto"/>
        </w:rPr>
        <w:t>, each as a joint bookrunner (in such capacity, together with its respective 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in such capacity, the “</w:t>
      </w:r>
      <w:r>
        <w:rPr>
          <w:rFonts w:ascii="Arial" w:cs="Arial" w:eastAsia="Arial" w:hAnsi="Arial"/>
          <w:sz w:val="16"/>
          <w:szCs w:val="16"/>
          <w:u w:val="single" w:color="auto"/>
          <w:color w:val="auto"/>
        </w:rPr>
        <w:t>Joint Book Runners</w:t>
      </w:r>
      <w:r>
        <w:rPr>
          <w:rFonts w:ascii="Arial" w:cs="Arial" w:eastAsia="Arial" w:hAnsi="Arial"/>
          <w:sz w:val="16"/>
          <w:szCs w:val="16"/>
          <w:color w:val="auto"/>
        </w:rPr>
        <w:t xml:space="preserve">”), </w:t>
      </w:r>
      <w:r>
        <w:rPr>
          <w:rFonts w:ascii="Arial" w:cs="Arial" w:eastAsia="Arial" w:hAnsi="Arial"/>
          <w:sz w:val="16"/>
          <w:szCs w:val="16"/>
          <w:b w:val="1"/>
          <w:bCs w:val="1"/>
          <w:color w:val="auto"/>
        </w:rPr>
        <w:t>JPMORGAN CHASE BANK, N.A.</w:t>
      </w:r>
      <w:r>
        <w:rPr>
          <w:rFonts w:ascii="Arial" w:cs="Arial" w:eastAsia="Arial" w:hAnsi="Arial"/>
          <w:sz w:val="16"/>
          <w:szCs w:val="16"/>
          <w:color w:val="auto"/>
        </w:rPr>
        <w:t xml:space="preserve"> and </w:t>
      </w:r>
      <w:r>
        <w:rPr>
          <w:rFonts w:ascii="Arial" w:cs="Arial" w:eastAsia="Arial" w:hAnsi="Arial"/>
          <w:sz w:val="16"/>
          <w:szCs w:val="16"/>
          <w:b w:val="1"/>
          <w:bCs w:val="1"/>
          <w:color w:val="auto"/>
        </w:rPr>
        <w:t>ROYAL BANK OF CANADA</w:t>
      </w:r>
      <w:r>
        <w:rPr>
          <w:rFonts w:ascii="Arial" w:cs="Arial" w:eastAsia="Arial" w:hAnsi="Arial"/>
          <w:sz w:val="16"/>
          <w:szCs w:val="16"/>
          <w:color w:val="auto"/>
        </w:rPr>
        <w:t>, as co-syndication agents (in such capacity, together with their successors and assigns in such capacity, the “</w:t>
      </w:r>
      <w:r>
        <w:rPr>
          <w:rFonts w:ascii="Arial" w:cs="Arial" w:eastAsia="Arial" w:hAnsi="Arial"/>
          <w:sz w:val="16"/>
          <w:szCs w:val="16"/>
          <w:u w:val="single" w:color="auto"/>
          <w:color w:val="auto"/>
        </w:rPr>
        <w:t>Co-Syndication Agents</w:t>
      </w:r>
      <w:r>
        <w:rPr>
          <w:rFonts w:ascii="Arial" w:cs="Arial" w:eastAsia="Arial" w:hAnsi="Arial"/>
          <w:sz w:val="16"/>
          <w:szCs w:val="16"/>
          <w:color w:val="auto"/>
        </w:rPr>
        <w:t xml:space="preserve">”), </w:t>
      </w:r>
      <w:r>
        <w:rPr>
          <w:rFonts w:ascii="Arial" w:cs="Arial" w:eastAsia="Arial" w:hAnsi="Arial"/>
          <w:sz w:val="16"/>
          <w:szCs w:val="16"/>
          <w:b w:val="1"/>
          <w:bCs w:val="1"/>
          <w:color w:val="auto"/>
        </w:rPr>
        <w:t>FIFTH THIRD BANK</w:t>
      </w:r>
      <w:r>
        <w:rPr>
          <w:rFonts w:ascii="Arial" w:cs="Arial" w:eastAsia="Arial" w:hAnsi="Arial"/>
          <w:sz w:val="16"/>
          <w:szCs w:val="16"/>
          <w:color w:val="auto"/>
        </w:rPr>
        <w:t>, as documentation agent (in such capacity, together with its successors and assigns in such capacity, the “</w:t>
      </w:r>
      <w:r>
        <w:rPr>
          <w:rFonts w:ascii="Arial" w:cs="Arial" w:eastAsia="Arial" w:hAnsi="Arial"/>
          <w:sz w:val="16"/>
          <w:szCs w:val="16"/>
          <w:u w:val="single" w:color="auto"/>
          <w:color w:val="auto"/>
        </w:rPr>
        <w:t>Documentation Agent</w:t>
      </w:r>
      <w:r>
        <w:rPr>
          <w:rFonts w:ascii="Arial" w:cs="Arial" w:eastAsia="Arial" w:hAnsi="Arial"/>
          <w:sz w:val="16"/>
          <w:szCs w:val="16"/>
          <w:color w:val="auto"/>
        </w:rPr>
        <w:t>”), NOW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DNOW L.P., a Texas limited partnership (“</w:t>
      </w:r>
      <w:r>
        <w:rPr>
          <w:rFonts w:ascii="Arial" w:cs="Arial" w:eastAsia="Arial" w:hAnsi="Arial"/>
          <w:sz w:val="16"/>
          <w:szCs w:val="16"/>
          <w:u w:val="single" w:color="auto"/>
          <w:color w:val="auto"/>
        </w:rPr>
        <w:t>DNOW</w:t>
      </w:r>
      <w:r>
        <w:rPr>
          <w:rFonts w:ascii="Arial" w:cs="Arial" w:eastAsia="Arial" w:hAnsi="Arial"/>
          <w:sz w:val="16"/>
          <w:szCs w:val="16"/>
          <w:color w:val="auto"/>
        </w:rPr>
        <w:t>” and, together with Parent and those additional entities that hereafter become parties hereto as US Borrowers, each a “</w:t>
      </w:r>
      <w:r>
        <w:rPr>
          <w:rFonts w:ascii="Arial" w:cs="Arial" w:eastAsia="Arial" w:hAnsi="Arial"/>
          <w:sz w:val="16"/>
          <w:szCs w:val="16"/>
          <w:u w:val="single" w:color="auto"/>
          <w:color w:val="auto"/>
        </w:rPr>
        <w:t>US Borrower</w:t>
      </w:r>
      <w:r>
        <w:rPr>
          <w:rFonts w:ascii="Arial" w:cs="Arial" w:eastAsia="Arial" w:hAnsi="Arial"/>
          <w:sz w:val="16"/>
          <w:szCs w:val="16"/>
          <w:color w:val="auto"/>
        </w:rPr>
        <w:t>” and individually and collectively, jointly and severally, the “</w:t>
      </w:r>
      <w:r>
        <w:rPr>
          <w:rFonts w:ascii="Arial" w:cs="Arial" w:eastAsia="Arial" w:hAnsi="Arial"/>
          <w:sz w:val="16"/>
          <w:szCs w:val="16"/>
          <w:u w:val="single" w:color="auto"/>
          <w:color w:val="auto"/>
        </w:rPr>
        <w:t>US Borrowers</w:t>
      </w:r>
      <w:r>
        <w:rPr>
          <w:rFonts w:ascii="Arial" w:cs="Arial" w:eastAsia="Arial" w:hAnsi="Arial"/>
          <w:sz w:val="16"/>
          <w:szCs w:val="16"/>
          <w:color w:val="auto"/>
        </w:rPr>
        <w:t xml:space="preserve">”), those additional entities that hereafter become parties hereto as US Borrowers in accordance with the terms hereof by executing the form of Joinder attached hereto as </w:t>
      </w:r>
      <w:r>
        <w:rPr>
          <w:rFonts w:ascii="Arial" w:cs="Arial" w:eastAsia="Arial" w:hAnsi="Arial"/>
          <w:sz w:val="16"/>
          <w:szCs w:val="16"/>
          <w:u w:val="single" w:color="auto"/>
          <w:color w:val="auto"/>
        </w:rPr>
        <w:t>Exhibit J-1</w:t>
      </w:r>
      <w:r>
        <w:rPr>
          <w:rFonts w:ascii="Arial" w:cs="Arial" w:eastAsia="Arial" w:hAnsi="Arial"/>
          <w:sz w:val="16"/>
          <w:szCs w:val="16"/>
          <w:color w:val="auto"/>
        </w:rPr>
        <w:t>, DNOW Canada ULC, an Alberta unlimited liability corporation (“</w:t>
      </w:r>
      <w:r>
        <w:rPr>
          <w:rFonts w:ascii="Arial" w:cs="Arial" w:eastAsia="Arial" w:hAnsi="Arial"/>
          <w:sz w:val="16"/>
          <w:szCs w:val="16"/>
          <w:u w:val="single" w:color="auto"/>
          <w:color w:val="auto"/>
        </w:rPr>
        <w:t>DNOWC</w:t>
      </w:r>
      <w:r>
        <w:rPr>
          <w:rFonts w:ascii="Arial" w:cs="Arial" w:eastAsia="Arial" w:hAnsi="Arial"/>
          <w:sz w:val="16"/>
          <w:szCs w:val="16"/>
          <w:color w:val="auto"/>
        </w:rPr>
        <w:t>”, and, together with those additional entities that hereafter become parties hereto as Canadian Borrowers, each a “</w:t>
      </w:r>
      <w:r>
        <w:rPr>
          <w:rFonts w:ascii="Arial" w:cs="Arial" w:eastAsia="Arial" w:hAnsi="Arial"/>
          <w:sz w:val="16"/>
          <w:szCs w:val="16"/>
          <w:u w:val="single" w:color="auto"/>
          <w:color w:val="auto"/>
        </w:rPr>
        <w:t>Canadian Borrower</w:t>
      </w:r>
      <w:r>
        <w:rPr>
          <w:rFonts w:ascii="Arial" w:cs="Arial" w:eastAsia="Arial" w:hAnsi="Arial"/>
          <w:sz w:val="16"/>
          <w:szCs w:val="16"/>
          <w:color w:val="auto"/>
        </w:rPr>
        <w:t>” and individually and collectively, jointly and severally, the “</w:t>
      </w:r>
      <w:r>
        <w:rPr>
          <w:rFonts w:ascii="Arial" w:cs="Arial" w:eastAsia="Arial" w:hAnsi="Arial"/>
          <w:sz w:val="16"/>
          <w:szCs w:val="16"/>
          <w:u w:val="single" w:color="auto"/>
          <w:color w:val="auto"/>
        </w:rPr>
        <w:t>Canadian Borrowers</w:t>
      </w:r>
      <w:r>
        <w:rPr>
          <w:rFonts w:ascii="Arial" w:cs="Arial" w:eastAsia="Arial" w:hAnsi="Arial"/>
          <w:sz w:val="16"/>
          <w:szCs w:val="16"/>
          <w:color w:val="auto"/>
        </w:rPr>
        <w:t xml:space="preserve">”), those additional entities that hereafter become parties hereto as Canadian Borrowers in accordance with the terms hereof by executing the form of Joinder attached hereto as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and those additional entities that hereafter become parties hereto as UK Borrowers in accordance with the terms hereof by executing the form of Joinder attached hereto as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UK Borrower</w:t>
      </w:r>
      <w:r>
        <w:rPr>
          <w:rFonts w:ascii="Arial" w:cs="Arial" w:eastAsia="Arial" w:hAnsi="Arial"/>
          <w:sz w:val="16"/>
          <w:szCs w:val="16"/>
          <w:color w:val="auto"/>
        </w:rPr>
        <w:t>” and individually and collectively, jointly and severally, the “</w:t>
      </w:r>
      <w:r>
        <w:rPr>
          <w:rFonts w:ascii="Arial" w:cs="Arial" w:eastAsia="Arial" w:hAnsi="Arial"/>
          <w:sz w:val="16"/>
          <w:szCs w:val="16"/>
          <w:u w:val="single" w:color="auto"/>
          <w:color w:val="auto"/>
        </w:rPr>
        <w:t>UK Borrowers</w:t>
      </w:r>
      <w:r>
        <w:rPr>
          <w:rFonts w:ascii="Arial" w:cs="Arial" w:eastAsia="Arial" w:hAnsi="Arial"/>
          <w:sz w:val="16"/>
          <w:szCs w:val="16"/>
          <w:color w:val="auto"/>
        </w:rPr>
        <w:t>”; the UK Borrowers, together with the US Borrowers and the Canadian Borrowers are each a “</w:t>
      </w:r>
      <w:r>
        <w:rPr>
          <w:rFonts w:ascii="Arial" w:cs="Arial" w:eastAsia="Arial" w:hAnsi="Arial"/>
          <w:sz w:val="16"/>
          <w:szCs w:val="16"/>
          <w:u w:val="single" w:color="auto"/>
          <w:color w:val="auto"/>
        </w:rPr>
        <w:t>Borrower</w:t>
      </w:r>
      <w:r>
        <w:rPr>
          <w:rFonts w:ascii="Arial" w:cs="Arial" w:eastAsia="Arial" w:hAnsi="Arial"/>
          <w:sz w:val="16"/>
          <w:szCs w:val="16"/>
          <w:color w:val="auto"/>
        </w:rPr>
        <w:t>” and individually and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agree as follows:</w:t>
      </w:r>
    </w:p>
    <w:p>
      <w:pPr>
        <w:spacing w:after="0" w:line="329"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DEFINITIONS AND CONSTRUCTION.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shall have the following definitions:</w:t>
      </w:r>
    </w:p>
    <w:p>
      <w:pPr>
        <w:spacing w:after="0" w:line="12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Appraisal</w:t>
      </w:r>
      <w:r>
        <w:rPr>
          <w:rFonts w:ascii="Arial" w:cs="Arial" w:eastAsia="Arial" w:hAnsi="Arial"/>
          <w:sz w:val="18"/>
          <w:szCs w:val="18"/>
          <w:color w:val="auto"/>
        </w:rPr>
        <w:t>” means, with respect to an appraisal of Inventory, the most recent appraisal of such property received by Agent (a) from an appraisal company satisfactory to Agent, (b) the scope and methodology of which are satisfactory to Agent, and (c) the results of which are satisfactory to Agent, in each case, in Agent’s Permitted Discretion.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12" w:name="page13"/>
    <w:bookmarkEnd w:id="1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Account</w:t>
      </w:r>
      <w:r>
        <w:rPr>
          <w:rFonts w:ascii="Arial" w:cs="Arial" w:eastAsia="Arial" w:hAnsi="Arial"/>
          <w:sz w:val="18"/>
          <w:szCs w:val="18"/>
          <w:color w:val="auto"/>
        </w:rPr>
        <w:t>” means an account (as that term is defined in the Code or, to the extent applicable, the PPSA).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obligated on an Account, chattel paper, or a general intangible.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Party</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2.11A(h)</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Changes</w:t>
      </w:r>
      <w:r>
        <w:rPr>
          <w:rFonts w:ascii="Arial" w:cs="Arial" w:eastAsia="Arial" w:hAnsi="Arial"/>
          <w:sz w:val="18"/>
          <w:szCs w:val="18"/>
          <w:color w:val="auto"/>
        </w:rPr>
        <w:t>” means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xml:space="preserve">” means Indebtedness of a Person whose assets or Equity Interests are acquired by a Loan Party or any of its Subsidiaries in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Indebtedness (a) is either purchase money Indebtedness or a Capital Lease with respect to Equipment or mortgage financing with respect to Real Property, (b) was in existence prior to the date of such Permitted Acquisition, and (c) was not incurred in connection with, or in contemplation of, such Permitted Acquisition.</w:t>
      </w:r>
    </w:p>
    <w:p>
      <w:pPr>
        <w:spacing w:after="0" w:line="18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the purchase or other acquisition by a Person or its Subsidiaries of all or substantially all of the assets of (or all or substantially all of any division or business line of) any other Person, or (b) the purchase or other acquisition (whether by means of a merger, amalgamation, consolidation, or otherwise) by a Person or its Subsidiaries of all of the Equity Interests of any other Person.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 as to any Borrower or any Subsidiary thereof, (i) any other Person that, directly or indirectly, through one or more intermediaries, controls, is controlled by, or is under common control with, such Person or any Subsidiary of such Person, or (ii) any other Person owning beneficially or controlling twenty percent (20%) or more of the equity interests in such Person, and (b) as to any other Person, any other Person that directly or indirectly, through one or more intermediaries, controls, is controlled by, or is under common control with, such Person (which includes, for the avoidance of doubt, in each case, any such Person that becomes an Affiliate after the date hereof). The term “control” (including the terms “controlled by” or “under common control with”) means the possession, directly or indirectly, of the power to direct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3" w:name="page14"/>
    <w:bookmarkEnd w:id="13"/>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cause the direction of the management and policies of a Person, whether through ownership of voting securities or other equity interests, by contract or otherwise. For purposes of the foregoing clause (b), a Person shall be deemed to control another Person if the controlling Person owns ten percent (10%) or more of any class of voting securities (or other ownership interests) of the controlled Person.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Agent’s Applicable Account</w:t>
      </w:r>
      <w:r>
        <w:rPr>
          <w:rFonts w:ascii="Arial" w:cs="Arial" w:eastAsia="Arial" w:hAnsi="Arial"/>
          <w:sz w:val="17"/>
          <w:szCs w:val="17"/>
          <w:color w:val="auto"/>
        </w:rPr>
        <w:t>” means Agent’s UK Account, Agent’s US Account and/or Agent’s Canadian Account, as the context requires.</w:t>
      </w:r>
    </w:p>
    <w:p>
      <w:pPr>
        <w:spacing w:after="0" w:line="23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Canadian Account</w:t>
      </w:r>
      <w:r>
        <w:rPr>
          <w:rFonts w:ascii="Arial" w:cs="Arial" w:eastAsia="Arial" w:hAnsi="Arial"/>
          <w:sz w:val="18"/>
          <w:szCs w:val="18"/>
          <w:color w:val="auto"/>
        </w:rPr>
        <w:t xml:space="preserve">” means the Deposit Account identified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to this Agreement as Agent’s Canadian Account (or such other Deposit Account that has been designated as such, in writing, by Agent to Administrative Borrower and the Lenders).</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UK Account</w:t>
      </w:r>
      <w:r>
        <w:rPr>
          <w:rFonts w:ascii="Arial" w:cs="Arial" w:eastAsia="Arial" w:hAnsi="Arial"/>
          <w:sz w:val="18"/>
          <w:szCs w:val="18"/>
          <w:color w:val="auto"/>
        </w:rPr>
        <w:t xml:space="preserve">” means the Deposit Account identified on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to this Agreement as Agent’s UK Account (or such other Deposit Account that has been designated as such, in writing, by Agent to Administrative Borrower and the Lenders).</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US Account</w:t>
      </w:r>
      <w:r>
        <w:rPr>
          <w:rFonts w:ascii="Arial" w:cs="Arial" w:eastAsia="Arial" w:hAnsi="Arial"/>
          <w:sz w:val="18"/>
          <w:szCs w:val="18"/>
          <w:color w:val="auto"/>
        </w:rPr>
        <w:t xml:space="preserve">” means the Deposit Account identified on </w:t>
      </w:r>
      <w:r>
        <w:rPr>
          <w:rFonts w:ascii="Arial" w:cs="Arial" w:eastAsia="Arial" w:hAnsi="Arial"/>
          <w:sz w:val="18"/>
          <w:szCs w:val="18"/>
          <w:u w:val="single" w:color="auto"/>
          <w:color w:val="auto"/>
        </w:rPr>
        <w:t>Schedule A-3</w:t>
      </w:r>
      <w:r>
        <w:rPr>
          <w:rFonts w:ascii="Arial" w:cs="Arial" w:eastAsia="Arial" w:hAnsi="Arial"/>
          <w:sz w:val="18"/>
          <w:szCs w:val="18"/>
          <w:color w:val="auto"/>
        </w:rPr>
        <w:t xml:space="preserve"> to this Agreement as Agent’s US Account (or such other Deposit Account that has been designated as such, in writing, by Agent to Administrative Borrower and the Lenders).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Agent, together with its Affiliates, officers, directors, employees, attorneys, and agents.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Liens</w:t>
      </w:r>
      <w:r>
        <w:rPr>
          <w:rFonts w:ascii="Arial" w:cs="Arial" w:eastAsia="Arial" w:hAnsi="Arial"/>
          <w:sz w:val="18"/>
          <w:szCs w:val="18"/>
          <w:color w:val="auto"/>
        </w:rPr>
        <w:t>” means the Liens granted by each Loan Party or its Subsidiaries to Agent under the Loan Documents and securing all or a portion of the Obligations.</w:t>
      </w:r>
    </w:p>
    <w:p>
      <w:pPr>
        <w:spacing w:after="0" w:line="170"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Excess Availability</w:t>
      </w:r>
      <w:r>
        <w:rPr>
          <w:rFonts w:ascii="Arial" w:cs="Arial" w:eastAsia="Arial" w:hAnsi="Arial"/>
          <w:sz w:val="18"/>
          <w:szCs w:val="18"/>
          <w:color w:val="auto"/>
        </w:rPr>
        <w:t xml:space="preserve">” means (a) the Line Cap, minus (b) the sum of Canadian Revolver Usage plus UK Revolver Usage plus US Revolver Usage;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more than 50% of Aggregate Excess Availability shall be attributable to Canadian Availability and UK Availability.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Agreed Currency</w:t>
      </w:r>
      <w:r>
        <w:rPr>
          <w:rFonts w:ascii="Arial" w:cs="Arial" w:eastAsia="Arial" w:hAnsi="Arial"/>
          <w:sz w:val="17"/>
          <w:szCs w:val="17"/>
          <w:color w:val="auto"/>
        </w:rPr>
        <w:t>” means (a) Dollars, (b) Canadian Dollars, (c) Sterling and (d) such other currency as the Agent and Lenders may agree.</w:t>
      </w:r>
    </w:p>
    <w:p>
      <w:pPr>
        <w:spacing w:after="0" w:line="23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L/C Currency</w:t>
      </w:r>
      <w:r>
        <w:rPr>
          <w:rFonts w:ascii="Arial" w:cs="Arial" w:eastAsia="Arial" w:hAnsi="Arial"/>
          <w:sz w:val="18"/>
          <w:szCs w:val="18"/>
          <w:color w:val="auto"/>
        </w:rPr>
        <w:t>” means (a) Dollars, (b) United Arab Emirates Dirham and (c) such other currency as the Agent, Lenders and US Issuing Lenders may agree.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Credit Agreement, as amended, restated, amended and restated, supplemented or otherwise modified from time to time.</w:t>
      </w:r>
    </w:p>
    <w:p>
      <w:pPr>
        <w:spacing w:after="0" w:line="24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 and includes Canadian Anti-Money Laundering &amp; Anti-Terrorism Legislation.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 w:name="page15"/>
    <w:bookmarkEnd w:id="14"/>
    <w:p>
      <w:pPr>
        <w:ind w:right="16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and includes Canadian Anti-Money Laundering &amp; Anti-Terrorism Legislation.</w:t>
      </w:r>
    </w:p>
    <w:p>
      <w:pPr>
        <w:spacing w:after="0" w:line="166"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w:t>
      </w:r>
      <w:r>
        <w:rPr>
          <w:rFonts w:ascii="Arial" w:cs="Arial" w:eastAsia="Arial" w:hAnsi="Arial"/>
          <w:sz w:val="18"/>
          <w:szCs w:val="18"/>
          <w:color w:val="auto"/>
        </w:rPr>
        <w:t xml:space="preserve">” means Dollars; </w:t>
      </w:r>
      <w:r>
        <w:rPr>
          <w:rFonts w:ascii="Arial" w:cs="Arial" w:eastAsia="Arial" w:hAnsi="Arial"/>
          <w:sz w:val="18"/>
          <w:szCs w:val="18"/>
          <w:u w:val="single" w:color="auto"/>
          <w:color w:val="auto"/>
        </w:rPr>
        <w:t>provided</w:t>
      </w:r>
      <w:r>
        <w:rPr>
          <w:rFonts w:ascii="Arial" w:cs="Arial" w:eastAsia="Arial" w:hAnsi="Arial"/>
          <w:sz w:val="18"/>
          <w:szCs w:val="18"/>
          <w:color w:val="auto"/>
        </w:rPr>
        <w:t>, that (a) with respect to Canadian Revolving Loans and other Obligations denominated in Canadian Dollars, Applicable Currency means Canadian Dollars and (b) with respect to UK Revolving Loans and other Obligations denominated in Sterling, Applicable Currency means Sterling.</w:t>
      </w:r>
    </w:p>
    <w:p>
      <w:pPr>
        <w:spacing w:after="0" w:line="181"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xml:space="preserve">” means, as of any date of determination and with respect to Base Rate Loans or Non-Base Rate Loans, as applicable, the applicable margin set forth in the following table that corresponds to the Fixed Charge Coverage Ratio and, where applicable, Leverage Ratio, of Borrowers for the most recently completed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period from the Closing Date through and including September 30, 2018, the Applicable Margin shall be set at the margin in the row styled “Level III”;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time an Event of Default has occurred and is continuing, the Applicable Margin may, at the direction of the Required Lenders, be set at the margin in the row styled “Level IV”:</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40" w:type="dxa"/>
            <w:vAlign w:val="bottom"/>
            <w:gridSpan w:val="2"/>
          </w:tcPr>
          <w:p>
            <w:pPr>
              <w:jc w:val="center"/>
              <w:ind w:right="2480"/>
              <w:spacing w:after="0"/>
              <w:rPr>
                <w:sz w:val="20"/>
                <w:szCs w:val="20"/>
                <w:color w:val="auto"/>
              </w:rPr>
            </w:pPr>
            <w:r>
              <w:rPr>
                <w:rFonts w:ascii="Arial" w:cs="Arial" w:eastAsia="Arial" w:hAnsi="Arial"/>
                <w:sz w:val="14"/>
                <w:szCs w:val="14"/>
                <w:b w:val="1"/>
                <w:bCs w:val="1"/>
                <w:color w:val="auto"/>
                <w:w w:val="94"/>
              </w:rPr>
              <w:t>Fixed Charge Coverage Ratio</w:t>
            </w:r>
          </w:p>
        </w:tc>
        <w:tc>
          <w:tcPr>
            <w:tcW w:w="1960" w:type="dxa"/>
            <w:vAlign w:val="bottom"/>
            <w:gridSpan w:val="2"/>
          </w:tcPr>
          <w:p>
            <w:pPr>
              <w:ind w:left="240"/>
              <w:spacing w:after="0"/>
              <w:rPr>
                <w:sz w:val="20"/>
                <w:szCs w:val="20"/>
                <w:color w:val="auto"/>
              </w:rPr>
            </w:pPr>
            <w:r>
              <w:rPr>
                <w:rFonts w:ascii="Arial" w:cs="Arial" w:eastAsia="Arial" w:hAnsi="Arial"/>
                <w:sz w:val="14"/>
                <w:szCs w:val="14"/>
                <w:b w:val="1"/>
                <w:bCs w:val="1"/>
                <w:color w:val="auto"/>
              </w:rPr>
              <w:t>Applicable Margin for</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6"/>
              </w:rPr>
              <w:t>Applicable Margin for Non-</w:t>
            </w: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40" w:type="dxa"/>
            <w:vAlign w:val="bottom"/>
            <w:gridSpan w:val="2"/>
          </w:tcPr>
          <w:p>
            <w:pPr>
              <w:jc w:val="center"/>
              <w:ind w:right="2500"/>
              <w:spacing w:after="0" w:line="149" w:lineRule="exact"/>
              <w:rPr>
                <w:sz w:val="20"/>
                <w:szCs w:val="20"/>
                <w:color w:val="auto"/>
              </w:rPr>
            </w:pPr>
            <w:r>
              <w:rPr>
                <w:rFonts w:ascii="Arial" w:cs="Arial" w:eastAsia="Arial" w:hAnsi="Arial"/>
                <w:sz w:val="14"/>
                <w:szCs w:val="14"/>
                <w:b w:val="1"/>
                <w:bCs w:val="1"/>
                <w:color w:val="auto"/>
                <w:w w:val="92"/>
              </w:rPr>
              <w:t>and, where applicable,</w:t>
            </w:r>
          </w:p>
        </w:tc>
        <w:tc>
          <w:tcPr>
            <w:tcW w:w="19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Base Rate Loans (the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Rate Loans (the “Non-</w:t>
            </w:r>
          </w:p>
        </w:tc>
      </w:tr>
      <w:tr>
        <w:trPr>
          <w:trHeight w:val="185"/>
        </w:trPr>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Level</w:t>
            </w: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3"/>
              </w:rPr>
              <w:t>Leverage Ratio</w:t>
            </w:r>
          </w:p>
        </w:tc>
        <w:tc>
          <w:tcPr>
            <w:tcW w:w="1960" w:type="dxa"/>
            <w:vAlign w:val="bottom"/>
            <w:gridSpan w:val="2"/>
          </w:tcPr>
          <w:p>
            <w:pPr>
              <w:ind w:left="280"/>
              <w:spacing w:after="0"/>
              <w:rPr>
                <w:sz w:val="20"/>
                <w:szCs w:val="20"/>
                <w:color w:val="auto"/>
              </w:rPr>
            </w:pPr>
            <w:r>
              <w:rPr>
                <w:rFonts w:ascii="Arial" w:cs="Arial" w:eastAsia="Arial" w:hAnsi="Arial"/>
                <w:sz w:val="14"/>
                <w:szCs w:val="14"/>
                <w:b w:val="1"/>
                <w:bCs w:val="1"/>
                <w:color w:val="auto"/>
              </w:rPr>
              <w:t>“Base Rate Margin”)</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4"/>
              </w:rPr>
              <w:t>Base Rate Margin”)</w:t>
            </w:r>
          </w:p>
        </w:tc>
      </w:tr>
      <w:tr>
        <w:trPr>
          <w:trHeight w:val="195"/>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w:t>
            </w:r>
          </w:p>
        </w:tc>
        <w:tc>
          <w:tcPr>
            <w:tcW w:w="220" w:type="dxa"/>
            <w:vAlign w:val="bottom"/>
          </w:tcPr>
          <w:p>
            <w:pPr>
              <w:spacing w:after="0"/>
              <w:rPr>
                <w:sz w:val="16"/>
                <w:szCs w:val="16"/>
                <w:color w:val="auto"/>
              </w:rPr>
            </w:pPr>
          </w:p>
        </w:tc>
        <w:tc>
          <w:tcPr>
            <w:tcW w:w="67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Fixed Charge Coverage Ratio &gt; 2.50:1.00 and Leverage Ratio &lt; 3.00:1.00</w:t>
            </w:r>
          </w:p>
        </w:tc>
        <w:tc>
          <w:tcPr>
            <w:tcW w:w="200" w:type="dxa"/>
            <w:vAlign w:val="bottom"/>
          </w:tcPr>
          <w:p>
            <w:pPr>
              <w:spacing w:after="0"/>
              <w:rPr>
                <w:sz w:val="16"/>
                <w:szCs w:val="16"/>
                <w:color w:val="auto"/>
              </w:rPr>
            </w:pPr>
          </w:p>
        </w:tc>
        <w:tc>
          <w:tcPr>
            <w:tcW w:w="18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0.25 percentage points</w:t>
            </w:r>
          </w:p>
        </w:tc>
        <w:tc>
          <w:tcPr>
            <w:tcW w:w="10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1.25 percentage points</w:t>
            </w:r>
          </w:p>
        </w:tc>
      </w:tr>
      <w:tr>
        <w:trPr>
          <w:trHeight w:val="216"/>
        </w:trPr>
        <w:tc>
          <w:tcPr>
            <w:tcW w:w="560" w:type="dxa"/>
            <w:vAlign w:val="bottom"/>
            <w:gridSpan w:val="3"/>
          </w:tcPr>
          <w:p>
            <w:pPr>
              <w:spacing w:after="0"/>
              <w:rPr>
                <w:sz w:val="20"/>
                <w:szCs w:val="20"/>
                <w:color w:val="auto"/>
              </w:rPr>
            </w:pPr>
            <w:r>
              <w:rPr>
                <w:rFonts w:ascii="Arial" w:cs="Arial" w:eastAsia="Arial" w:hAnsi="Arial"/>
                <w:sz w:val="18"/>
                <w:szCs w:val="18"/>
                <w:color w:val="auto"/>
              </w:rPr>
              <w:t>II</w:t>
            </w:r>
          </w:p>
        </w:tc>
        <w:tc>
          <w:tcPr>
            <w:tcW w:w="6920" w:type="dxa"/>
            <w:vAlign w:val="bottom"/>
            <w:gridSpan w:val="4"/>
          </w:tcPr>
          <w:p>
            <w:pPr>
              <w:spacing w:after="0"/>
              <w:rPr>
                <w:sz w:val="20"/>
                <w:szCs w:val="20"/>
                <w:color w:val="auto"/>
              </w:rPr>
            </w:pPr>
            <w:r>
              <w:rPr>
                <w:rFonts w:ascii="Arial" w:cs="Arial" w:eastAsia="Arial" w:hAnsi="Arial"/>
                <w:sz w:val="18"/>
                <w:szCs w:val="18"/>
                <w:color w:val="auto"/>
              </w:rPr>
              <w:t>Fixed Charge Coverage Ratio &gt; 2.50:1.00 and Leverage Ratio ³ 3.00:1.00</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0.50 percentage points</w:t>
            </w:r>
          </w:p>
        </w:tc>
        <w:tc>
          <w:tcPr>
            <w:tcW w:w="1980" w:type="dxa"/>
            <w:vAlign w:val="bottom"/>
          </w:tcPr>
          <w:p>
            <w:pPr>
              <w:spacing w:after="0"/>
              <w:rPr>
                <w:sz w:val="20"/>
                <w:szCs w:val="20"/>
                <w:color w:val="auto"/>
              </w:rPr>
            </w:pPr>
            <w:r>
              <w:rPr>
                <w:rFonts w:ascii="Arial" w:cs="Arial" w:eastAsia="Arial" w:hAnsi="Arial"/>
                <w:sz w:val="18"/>
                <w:szCs w:val="18"/>
                <w:color w:val="auto"/>
              </w:rPr>
              <w:t>1.50 percentage points</w:t>
            </w:r>
          </w:p>
        </w:tc>
      </w:tr>
      <w:tr>
        <w:trPr>
          <w:trHeight w:val="190"/>
        </w:trPr>
        <w:tc>
          <w:tcPr>
            <w:tcW w:w="560" w:type="dxa"/>
            <w:vAlign w:val="bottom"/>
            <w:gridSpan w:val="3"/>
          </w:tcPr>
          <w:p>
            <w:pPr>
              <w:spacing w:after="0" w:line="190" w:lineRule="exact"/>
              <w:rPr>
                <w:sz w:val="20"/>
                <w:szCs w:val="20"/>
                <w:color w:val="auto"/>
              </w:rPr>
            </w:pPr>
            <w:r>
              <w:rPr>
                <w:rFonts w:ascii="Arial" w:cs="Arial" w:eastAsia="Arial" w:hAnsi="Arial"/>
                <w:sz w:val="18"/>
                <w:szCs w:val="18"/>
                <w:color w:val="auto"/>
              </w:rPr>
              <w:t>III</w:t>
            </w:r>
          </w:p>
        </w:tc>
        <w:tc>
          <w:tcPr>
            <w:tcW w:w="6920" w:type="dxa"/>
            <w:vAlign w:val="bottom"/>
            <w:gridSpan w:val="4"/>
          </w:tcPr>
          <w:p>
            <w:pPr>
              <w:spacing w:after="0" w:line="190" w:lineRule="exact"/>
              <w:rPr>
                <w:sz w:val="20"/>
                <w:szCs w:val="20"/>
                <w:color w:val="auto"/>
              </w:rPr>
            </w:pPr>
            <w:r>
              <w:rPr>
                <w:rFonts w:ascii="Arial" w:cs="Arial" w:eastAsia="Arial" w:hAnsi="Arial"/>
                <w:sz w:val="18"/>
                <w:szCs w:val="18"/>
                <w:color w:val="auto"/>
              </w:rPr>
              <w:t>Fixed Charge Coverage Ratio &lt; 2.50:1.00 and &gt; 1.50:1.00</w:t>
            </w:r>
          </w:p>
        </w:tc>
        <w:tc>
          <w:tcPr>
            <w:tcW w:w="19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0.75 percentage points</w:t>
            </w:r>
          </w:p>
        </w:tc>
        <w:tc>
          <w:tcPr>
            <w:tcW w:w="1980" w:type="dxa"/>
            <w:vAlign w:val="bottom"/>
          </w:tcPr>
          <w:p>
            <w:pPr>
              <w:spacing w:after="0" w:line="190" w:lineRule="exact"/>
              <w:rPr>
                <w:sz w:val="20"/>
                <w:szCs w:val="20"/>
                <w:color w:val="auto"/>
              </w:rPr>
            </w:pPr>
            <w:r>
              <w:rPr>
                <w:rFonts w:ascii="Arial" w:cs="Arial" w:eastAsia="Arial" w:hAnsi="Arial"/>
                <w:sz w:val="18"/>
                <w:szCs w:val="18"/>
                <w:color w:val="auto"/>
              </w:rPr>
              <w:t>1.75 percentage points</w:t>
            </w:r>
          </w:p>
        </w:tc>
      </w:tr>
      <w:tr>
        <w:trPr>
          <w:trHeight w:val="20"/>
        </w:trPr>
        <w:tc>
          <w:tcPr>
            <w:tcW w:w="5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7"/>
        </w:trPr>
        <w:tc>
          <w:tcPr>
            <w:tcW w:w="560" w:type="dxa"/>
            <w:vAlign w:val="bottom"/>
            <w:gridSpan w:val="3"/>
          </w:tcPr>
          <w:p>
            <w:pPr>
              <w:spacing w:after="0"/>
              <w:rPr>
                <w:sz w:val="20"/>
                <w:szCs w:val="20"/>
                <w:color w:val="auto"/>
              </w:rPr>
            </w:pPr>
            <w:r>
              <w:rPr>
                <w:rFonts w:ascii="Arial" w:cs="Arial" w:eastAsia="Arial" w:hAnsi="Arial"/>
                <w:sz w:val="18"/>
                <w:szCs w:val="18"/>
                <w:color w:val="auto"/>
              </w:rPr>
              <w:t>IV</w:t>
            </w:r>
          </w:p>
        </w:tc>
        <w:tc>
          <w:tcPr>
            <w:tcW w:w="6920" w:type="dxa"/>
            <w:vAlign w:val="bottom"/>
            <w:gridSpan w:val="4"/>
          </w:tcPr>
          <w:p>
            <w:pPr>
              <w:spacing w:after="0"/>
              <w:rPr>
                <w:sz w:val="20"/>
                <w:szCs w:val="20"/>
                <w:color w:val="auto"/>
              </w:rPr>
            </w:pPr>
            <w:r>
              <w:rPr>
                <w:rFonts w:ascii="Arial" w:cs="Arial" w:eastAsia="Arial" w:hAnsi="Arial"/>
                <w:sz w:val="18"/>
                <w:szCs w:val="18"/>
                <w:color w:val="auto"/>
              </w:rPr>
              <w:t>Fixed Charge Coverage Ratio &lt; 1.50:1.00</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1.00 percentage points</w:t>
            </w:r>
          </w:p>
        </w:tc>
        <w:tc>
          <w:tcPr>
            <w:tcW w:w="1980" w:type="dxa"/>
            <w:vAlign w:val="bottom"/>
          </w:tcPr>
          <w:p>
            <w:pPr>
              <w:spacing w:after="0"/>
              <w:rPr>
                <w:sz w:val="20"/>
                <w:szCs w:val="20"/>
                <w:color w:val="auto"/>
              </w:rPr>
            </w:pPr>
            <w:r>
              <w:rPr>
                <w:rFonts w:ascii="Arial" w:cs="Arial" w:eastAsia="Arial" w:hAnsi="Arial"/>
                <w:sz w:val="18"/>
                <w:szCs w:val="18"/>
                <w:color w:val="auto"/>
              </w:rPr>
              <w:t>2.00 percentage points</w:t>
            </w:r>
          </w:p>
        </w:tc>
      </w:tr>
    </w:tbl>
    <w:p>
      <w:pPr>
        <w:spacing w:after="0" w:line="202"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Except as set forth in the foregoing proviso, the Applicable Margin shall be based upon the most recent Fixed Charge Coverage Ratio and, where applicable, Leverage Ratio calculation, which will be calculated as of the end of each fiscal quarter. Except as set forth in the foregoing proviso, the Applicable Margin shall be re-determined quarterly on the first day of the month following the date of delivery to Agent of the certified calculation of the Fixed Charge Coverage Ratio and, where applicable, the Leverage Ratio, in each case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Borrower fails to provide such certification when such certification is due, the Applicable Margin shall be set at the margin in the row styled “Level IV” as of the first day of the month following the date on which the certification was required to be delivered until the date on which such certification is delivered (on which date (but not retroactively), without constituting a waiver of any Default or Event of Default occasioned by the failure to timely deliver such certification, the Applicable Margin shall be set at the margin based upon the calculations disclosed by such certification. In the event that the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5" w:name="page16"/>
    <w:bookmarkEnd w:id="15"/>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regarding the Fixed Charge Coverage Ratio and, where applicable, Leverage Ratio contained in any certificate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Agreement is shown to be inaccurate, and such inaccuracy, if corrected, would have led to the application of a higher Applicable Margin for any period (an “</w:t>
      </w:r>
      <w:r>
        <w:rPr>
          <w:rFonts w:ascii="Arial" w:cs="Arial" w:eastAsia="Arial" w:hAnsi="Arial"/>
          <w:sz w:val="16"/>
          <w:szCs w:val="16"/>
          <w:u w:val="single" w:color="auto"/>
          <w:color w:val="auto"/>
        </w:rPr>
        <w:t>Applicable Period</w:t>
      </w:r>
      <w:r>
        <w:rPr>
          <w:rFonts w:ascii="Arial" w:cs="Arial" w:eastAsia="Arial" w:hAnsi="Arial"/>
          <w:sz w:val="16"/>
          <w:szCs w:val="16"/>
          <w:color w:val="auto"/>
        </w:rPr>
        <w:t>”) than the Applicable Margin actually applied for such Applicable Period, then (i) Parent shall immediately deliver to Agent a correct certificate for such Applicable Period, (ii) the Applicable Margin shall be determined as if the correct Applicable Margin (as set forth in the table above) were applicable for such Applicable Period, and (iii) Borrowers shall immediately deliver to Agent full payment in respect of the accrued additional interest as a result of such increased Applicable Margin for such Applicable Period, which payment shall be promptly applied by Agent to the affected Obligations.</w:t>
      </w:r>
    </w:p>
    <w:p>
      <w:pPr>
        <w:spacing w:after="0" w:line="165"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Unused Line Fee Percentage</w:t>
      </w:r>
      <w:r>
        <w:rPr>
          <w:rFonts w:ascii="Arial" w:cs="Arial" w:eastAsia="Arial" w:hAnsi="Arial"/>
          <w:sz w:val="18"/>
          <w:szCs w:val="18"/>
          <w:color w:val="auto"/>
        </w:rPr>
        <w:t xml:space="preserve">” means, as of any date of determination, the applicable percentage set forth in the following table that corresponds to the Average Revolver Usage of Borrowers for the most recently completed quarter as determined by Agent in its Permitted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period from the Closing Date through and including September 30, 2018, the Applicable Unused Line Fee Percentage shall be set at the rate in the row styled “Level II”;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time an Event of Default has occurred and is continuing, the Applicable Unused Line Fee Percentage shall be set at the margin in the row styled “Level II”:</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 Unused Line</w:t>
            </w:r>
          </w:p>
        </w:tc>
      </w:tr>
      <w:tr>
        <w:trPr>
          <w:trHeight w:val="185"/>
        </w:trPr>
        <w:tc>
          <w:tcPr>
            <w:tcW w:w="480" w:type="dxa"/>
            <w:vAlign w:val="bottom"/>
            <w:gridSpan w:val="3"/>
          </w:tcPr>
          <w:p>
            <w:pPr>
              <w:spacing w:after="0"/>
              <w:rPr>
                <w:sz w:val="20"/>
                <w:szCs w:val="20"/>
                <w:color w:val="auto"/>
              </w:rPr>
            </w:pPr>
            <w:r>
              <w:rPr>
                <w:rFonts w:ascii="Arial" w:cs="Arial" w:eastAsia="Arial" w:hAnsi="Arial"/>
                <w:sz w:val="14"/>
                <w:szCs w:val="14"/>
                <w:b w:val="1"/>
                <w:bCs w:val="1"/>
                <w:color w:val="auto"/>
              </w:rPr>
              <w:t>Level</w:t>
            </w:r>
          </w:p>
        </w:tc>
        <w:tc>
          <w:tcPr>
            <w:tcW w:w="5580" w:type="dxa"/>
            <w:vAlign w:val="bottom"/>
            <w:gridSpan w:val="2"/>
          </w:tcPr>
          <w:p>
            <w:pPr>
              <w:ind w:left="1980"/>
              <w:spacing w:after="0"/>
              <w:rPr>
                <w:sz w:val="20"/>
                <w:szCs w:val="20"/>
                <w:color w:val="auto"/>
              </w:rPr>
            </w:pPr>
            <w:r>
              <w:rPr>
                <w:rFonts w:ascii="Arial" w:cs="Arial" w:eastAsia="Arial" w:hAnsi="Arial"/>
                <w:sz w:val="14"/>
                <w:szCs w:val="14"/>
                <w:b w:val="1"/>
                <w:bCs w:val="1"/>
                <w:color w:val="auto"/>
              </w:rPr>
              <w:t>Average Revolver Usage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8"/>
              </w:rPr>
              <w:t>Fee Percentage</w:t>
            </w:r>
          </w:p>
        </w:tc>
      </w:tr>
      <w:tr>
        <w:trPr>
          <w:trHeight w:val="195"/>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w:t>
            </w:r>
          </w:p>
        </w:tc>
        <w:tc>
          <w:tcPr>
            <w:tcW w:w="14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&gt; 40% of the Maximum Revolver Amount</w:t>
            </w:r>
          </w:p>
        </w:tc>
        <w:tc>
          <w:tcPr>
            <w:tcW w:w="1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0.250 percentage points</w:t>
            </w:r>
          </w:p>
        </w:tc>
      </w:tr>
      <w:tr>
        <w:trPr>
          <w:trHeight w:val="230"/>
        </w:trPr>
        <w:tc>
          <w:tcPr>
            <w:tcW w:w="480" w:type="dxa"/>
            <w:vAlign w:val="bottom"/>
            <w:gridSpan w:val="3"/>
          </w:tcPr>
          <w:p>
            <w:pPr>
              <w:spacing w:after="0"/>
              <w:rPr>
                <w:sz w:val="20"/>
                <w:szCs w:val="20"/>
                <w:color w:val="auto"/>
              </w:rPr>
            </w:pPr>
            <w:r>
              <w:rPr>
                <w:rFonts w:ascii="Arial" w:cs="Arial" w:eastAsia="Arial" w:hAnsi="Arial"/>
                <w:sz w:val="18"/>
                <w:szCs w:val="18"/>
                <w:color w:val="auto"/>
              </w:rPr>
              <w:t>II</w:t>
            </w:r>
          </w:p>
        </w:tc>
        <w:tc>
          <w:tcPr>
            <w:tcW w:w="5580" w:type="dxa"/>
            <w:vAlign w:val="bottom"/>
            <w:gridSpan w:val="2"/>
          </w:tcPr>
          <w:p>
            <w:pPr>
              <w:spacing w:after="0"/>
              <w:rPr>
                <w:sz w:val="20"/>
                <w:szCs w:val="20"/>
                <w:color w:val="auto"/>
              </w:rPr>
            </w:pPr>
            <w:r>
              <w:rPr>
                <w:rFonts w:ascii="Arial" w:cs="Arial" w:eastAsia="Arial" w:hAnsi="Arial"/>
                <w:sz w:val="18"/>
                <w:szCs w:val="18"/>
                <w:color w:val="auto"/>
              </w:rPr>
              <w:t>£ 40% of the Maximum Revolver Amount</w:t>
            </w:r>
          </w:p>
        </w:tc>
        <w:tc>
          <w:tcPr>
            <w:tcW w:w="5360" w:type="dxa"/>
            <w:vAlign w:val="bottom"/>
          </w:tcPr>
          <w:p>
            <w:pPr>
              <w:spacing w:after="0"/>
              <w:rPr>
                <w:sz w:val="20"/>
                <w:szCs w:val="20"/>
                <w:color w:val="auto"/>
              </w:rPr>
            </w:pPr>
            <w:r>
              <w:rPr>
                <w:rFonts w:ascii="Arial" w:cs="Arial" w:eastAsia="Arial" w:hAnsi="Arial"/>
                <w:sz w:val="18"/>
                <w:szCs w:val="18"/>
                <w:color w:val="auto"/>
              </w:rPr>
              <w:t>0.375 percentage points</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Applicable Unused Line Fee Percentage shall be re-determined on the first date of each quarter by Agent.</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 Event</w:t>
      </w:r>
      <w:r>
        <w:rPr>
          <w:rFonts w:ascii="Arial" w:cs="Arial" w:eastAsia="Arial" w:hAnsi="Arial"/>
          <w:sz w:val="18"/>
          <w:szCs w:val="18"/>
          <w:color w:val="auto"/>
        </w:rPr>
        <w:t xml:space="preserve">” means the occurrence and continuation of (a) a failure by Borrowers to repay all of the Obligations in full on the Maturity Date, or (b) an Event of Default and the election by Agent or the Required Lenders to require that payments and proceeds of Collateral be applied pursuant to </w:t>
      </w:r>
      <w:r>
        <w:rPr>
          <w:rFonts w:ascii="Arial" w:cs="Arial" w:eastAsia="Arial" w:hAnsi="Arial"/>
          <w:sz w:val="18"/>
          <w:szCs w:val="18"/>
          <w:u w:val="single" w:color="auto"/>
          <w:color w:val="auto"/>
        </w:rPr>
        <w:t>Section 2.4(b)(ii)</w:t>
      </w:r>
      <w:r>
        <w:rPr>
          <w:rFonts w:ascii="Arial" w:cs="Arial" w:eastAsia="Arial" w:hAnsi="Arial"/>
          <w:sz w:val="18"/>
          <w:szCs w:val="18"/>
          <w:color w:val="auto"/>
        </w:rPr>
        <w:t xml:space="preserve"> of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xml:space="preserve">” means an Assignment and Acceptance Agreement substantially in the form of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to this Agreement.</w:t>
      </w:r>
    </w:p>
    <w:p>
      <w:pPr>
        <w:spacing w:after="0" w:line="23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xml:space="preserve">” means any one of the individuals identified as an officer of a Borrower on </w:t>
      </w:r>
      <w:r>
        <w:rPr>
          <w:rFonts w:ascii="Arial" w:cs="Arial" w:eastAsia="Arial" w:hAnsi="Arial"/>
          <w:sz w:val="18"/>
          <w:szCs w:val="18"/>
          <w:u w:val="single" w:color="auto"/>
          <w:color w:val="auto"/>
        </w:rPr>
        <w:t>Schedule A-4</w:t>
      </w:r>
      <w:r>
        <w:rPr>
          <w:rFonts w:ascii="Arial" w:cs="Arial" w:eastAsia="Arial" w:hAnsi="Arial"/>
          <w:sz w:val="18"/>
          <w:szCs w:val="18"/>
          <w:color w:val="auto"/>
        </w:rPr>
        <w:t xml:space="preserve"> to this Agreement, or any other individual identified by Administrative Borrower as an authorized person and authenticated through Agent’s electronic platform or portal in accordance with its procedures for such authentication.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6" w:name="page17"/>
    <w:bookmarkEnd w:id="16"/>
    <w:p>
      <w:pPr>
        <w:ind w:right="1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Available Increase Amount</w:t>
      </w:r>
      <w:r>
        <w:rPr>
          <w:rFonts w:ascii="Arial" w:cs="Arial" w:eastAsia="Arial" w:hAnsi="Arial"/>
          <w:sz w:val="18"/>
          <w:szCs w:val="18"/>
          <w:color w:val="auto"/>
        </w:rPr>
        <w:t xml:space="preserve">” means, as of any date of determination, an amount equal to the result of (a) $250,000,000,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(b) the aggregate principal amount of Increases to the Revolver Commitments previously made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Canadian Revolver Usage</w:t>
      </w:r>
      <w:r>
        <w:rPr>
          <w:rFonts w:ascii="Arial" w:cs="Arial" w:eastAsia="Arial" w:hAnsi="Arial"/>
          <w:sz w:val="18"/>
          <w:szCs w:val="18"/>
          <w:color w:val="auto"/>
        </w:rPr>
        <w:t xml:space="preserve">” means, with respect to any period, the sum of the aggregate amount of Canadian Revolver Usage for each day in such period (calculated as of the end of each respective day)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the number of days in such period.</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Revolver Usage</w:t>
      </w:r>
      <w:r>
        <w:rPr>
          <w:rFonts w:ascii="Arial" w:cs="Arial" w:eastAsia="Arial" w:hAnsi="Arial"/>
          <w:sz w:val="18"/>
          <w:szCs w:val="18"/>
          <w:color w:val="auto"/>
        </w:rPr>
        <w:t>” means, with respect to any period, the sum of the Average Canadian Revolver Usage plus the Average UK Revolver Usage plus the Average US Revolver Usage.</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UK Revolver Usage</w:t>
      </w:r>
      <w:r>
        <w:rPr>
          <w:rFonts w:ascii="Arial" w:cs="Arial" w:eastAsia="Arial" w:hAnsi="Arial"/>
          <w:sz w:val="18"/>
          <w:szCs w:val="18"/>
          <w:color w:val="auto"/>
        </w:rPr>
        <w:t xml:space="preserve">” means, with respect to any period, the sum of the aggregate amount of UK Revolver Usage for each day in such period (calculated as of the end of each respective day)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the number of days in such period.</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US Revolver Usage</w:t>
      </w:r>
      <w:r>
        <w:rPr>
          <w:rFonts w:ascii="Arial" w:cs="Arial" w:eastAsia="Arial" w:hAnsi="Arial"/>
          <w:sz w:val="18"/>
          <w:szCs w:val="18"/>
          <w:color w:val="auto"/>
        </w:rPr>
        <w:t xml:space="preserve">” means, with respect to any period, the sum of the aggregate amount of US Revolver Usage for each day in such period (calculated as of the end of each respective day)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the number of days in such period.</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Agreements</w:t>
      </w:r>
      <w:r>
        <w:rPr>
          <w:rFonts w:ascii="Arial" w:cs="Arial" w:eastAsia="Arial" w:hAnsi="Arial"/>
          <w:sz w:val="18"/>
          <w:szCs w:val="18"/>
          <w:color w:val="auto"/>
        </w:rPr>
        <w:t>” means the US Bank Product Agreements, the Canadian Bank Product Agreements and/or the UK Bank Product Agreements, as the context requires.</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Collateralization</w:t>
      </w:r>
      <w:r>
        <w:rPr>
          <w:rFonts w:ascii="Arial" w:cs="Arial" w:eastAsia="Arial" w:hAnsi="Arial"/>
          <w:sz w:val="18"/>
          <w:szCs w:val="18"/>
          <w:color w:val="auto"/>
        </w:rPr>
        <w:t>” means, with respect to the US Bank Product Obligations, the Canadian Bank Product Obligations or the UK Bank Product Obligations, as applicable, providing cash collateral (pursuant to documentation reasonably satisfactory to Agent) in the Applicable Currency to be held by Agent for the benefit of the Bank Product Providers (other than the Hedge Providers) in an amount determined by Agent as sufficient to satisfy the reasonably estimated credit exposure, operational risk or processing risk with respect to the then existing Bank Product Obligations (other than Hedge Obligations).</w:t>
      </w:r>
    </w:p>
    <w:p>
      <w:pPr>
        <w:spacing w:after="0" w:line="188"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Obligations</w:t>
      </w:r>
      <w:r>
        <w:rPr>
          <w:rFonts w:ascii="Arial" w:cs="Arial" w:eastAsia="Arial" w:hAnsi="Arial"/>
          <w:sz w:val="18"/>
          <w:szCs w:val="18"/>
          <w:color w:val="auto"/>
        </w:rPr>
        <w:t>” means the US Bank Product Obligations, the Canadian Bank Product Obligations and/or the UK Bank Product Obligations, as the context requires.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7" w:name="page18"/>
    <w:bookmarkEnd w:id="17"/>
    <w:p>
      <w:pPr>
        <w:ind w:right="4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Bank Product Provider</w:t>
      </w:r>
      <w:r>
        <w:rPr>
          <w:rFonts w:ascii="Arial" w:cs="Arial" w:eastAsia="Arial" w:hAnsi="Arial"/>
          <w:sz w:val="17"/>
          <w:szCs w:val="17"/>
          <w:color w:val="auto"/>
        </w:rPr>
        <w:t xml:space="preserve">” means any Lender or any of its Affiliates, including each of the foregoing in its capacity, if applicable, as a Hedge Provider;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Person (other than Wells Fargo or its Affiliates) shall constitute a Bank Product Provider with respect to a Bank Product unless and until Agent receives a Bank Product Provider Agreement from such Person (a) on or prior to the Closing Date (or such later date as Agent shall agree to in writing in its sole discretion) with respect to Bank Products provided on or prior to the Closing Date, or (b) on or prior to the date that is 10 days after the provision of such Bank Product to a Loan Party or its Subsidiaries (or such later date as Agent shall agree to in writing in its sole discretion) with respect to Bank Products provided after the Closing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at any time, a Lender ceases to be a Lender under this Agreement (prior to the payment in full of the Obligations), then, from and after the date on which it so ceases to be a Lender thereunder, neither it nor any of its Affiliates shall constitute Bank Product Providers and the obligations with respect to Bank Products provided by such former Lender or any of its Affiliates shall no longer constitute Bank Product Obligations.</w:t>
      </w:r>
    </w:p>
    <w:p>
      <w:pPr>
        <w:spacing w:after="0" w:line="182"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 Provider Agreement</w:t>
      </w:r>
      <w:r>
        <w:rPr>
          <w:rFonts w:ascii="Arial" w:cs="Arial" w:eastAsia="Arial" w:hAnsi="Arial"/>
          <w:sz w:val="17"/>
          <w:szCs w:val="17"/>
          <w:color w:val="auto"/>
        </w:rPr>
        <w:t xml:space="preserve">” means an agreement in substantially the form attached hereto as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Agreement, in form and substance satisfactory to Agent, duly executed by the applicable Bank Product Provider, the applicable Loan Parties, and Agent.</w:t>
      </w:r>
    </w:p>
    <w:p>
      <w:pPr>
        <w:spacing w:after="0" w:line="14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Reserves</w:t>
      </w:r>
      <w:r>
        <w:rPr>
          <w:rFonts w:ascii="Arial" w:cs="Arial" w:eastAsia="Arial" w:hAnsi="Arial"/>
          <w:sz w:val="18"/>
          <w:szCs w:val="18"/>
          <w:color w:val="auto"/>
        </w:rPr>
        <w:t>” means the US Bank Product Reserves, the Canadian Bank Product Reserves and/or the UK Bank Product Reserves, as the context requires.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w:t>
      </w:r>
      <w:r>
        <w:rPr>
          <w:rFonts w:ascii="Arial" w:cs="Arial" w:eastAsia="Arial" w:hAnsi="Arial"/>
          <w:sz w:val="18"/>
          <w:szCs w:val="18"/>
          <w:color w:val="auto"/>
        </w:rPr>
        <w:t>” means US Bank Products, Canadian Bank Products and/or UK Bank Products, as the context requires.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in effect from time to time.</w:t>
      </w:r>
    </w:p>
    <w:p>
      <w:pPr>
        <w:spacing w:after="0" w:line="225" w:lineRule="exact"/>
        <w:rPr>
          <w:sz w:val="20"/>
          <w:szCs w:val="20"/>
          <w:color w:val="auto"/>
        </w:rPr>
      </w:pPr>
    </w:p>
    <w:p>
      <w:pPr>
        <w:ind w:right="4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the US Base Rate; </w:t>
      </w:r>
      <w:r>
        <w:rPr>
          <w:rFonts w:ascii="Arial" w:cs="Arial" w:eastAsia="Arial" w:hAnsi="Arial"/>
          <w:sz w:val="16"/>
          <w:szCs w:val="16"/>
          <w:u w:val="single" w:color="auto"/>
          <w:color w:val="auto"/>
        </w:rPr>
        <w:t>provided</w:t>
      </w:r>
      <w:r>
        <w:rPr>
          <w:rFonts w:ascii="Arial" w:cs="Arial" w:eastAsia="Arial" w:hAnsi="Arial"/>
          <w:sz w:val="16"/>
          <w:szCs w:val="16"/>
          <w:color w:val="auto"/>
        </w:rPr>
        <w:t>, that (a) with respect to Canadian Obligations denominated in Canadian Dollars, Base Rate means the Canadian Base Rate and (b) with respect to UK Obligations denominated in Sterling, Base Rate means the UK Floating Rate.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 Loan</w:t>
      </w:r>
      <w:r>
        <w:rPr>
          <w:rFonts w:ascii="Arial" w:cs="Arial" w:eastAsia="Arial" w:hAnsi="Arial"/>
          <w:sz w:val="16"/>
          <w:szCs w:val="16"/>
          <w:color w:val="auto"/>
        </w:rPr>
        <w:t>” means each portion of the Revolving Loans that bears interest at a rate determined by reference to the applicable Base Rate.</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Margin</w:t>
      </w:r>
      <w:r>
        <w:rPr>
          <w:rFonts w:ascii="Arial" w:cs="Arial" w:eastAsia="Arial" w:hAnsi="Arial"/>
          <w:sz w:val="18"/>
          <w:szCs w:val="18"/>
          <w:color w:val="auto"/>
        </w:rPr>
        <w:t>” has the meaning set forth in the definition of Applicable Margin.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Account Agreement</w:t>
      </w:r>
      <w:r>
        <w:rPr>
          <w:rFonts w:ascii="Arial" w:cs="Arial" w:eastAsia="Arial" w:hAnsi="Arial"/>
          <w:sz w:val="18"/>
          <w:szCs w:val="18"/>
          <w:color w:val="auto"/>
        </w:rPr>
        <w:t>” has the meaning assigned to such term in the Canadian Security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Account Control Agreement</w:t>
      </w:r>
      <w:r>
        <w:rPr>
          <w:rFonts w:ascii="Arial" w:cs="Arial" w:eastAsia="Arial" w:hAnsi="Arial"/>
          <w:sz w:val="18"/>
          <w:szCs w:val="18"/>
          <w:color w:val="auto"/>
        </w:rPr>
        <w:t>” has the meaning assigned to such term in any UK Security Document.</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as to any Person, the board of directors (or comparable managers) of such Person, or any committee thereof duly authorized to act on behalf of the board of directors (or comparable managers).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(or any successor).</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8" w:name="page19"/>
    <w:bookmarkEnd w:id="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have the respective meanings specified therefor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US Borrowing, a Canadian Borrowing and/or a UK Borrowing, as the context requires.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DTTP Filing</w:t>
      </w:r>
      <w:r>
        <w:rPr>
          <w:rFonts w:ascii="Arial" w:cs="Arial" w:eastAsia="Arial" w:hAnsi="Arial"/>
          <w:sz w:val="17"/>
          <w:szCs w:val="17"/>
          <w:color w:val="auto"/>
        </w:rPr>
        <w:t>” means an HM Revenue &amp; Customs’ Form DTTP2 duly completed and filed by the relevant UK Borrower, which:</w:t>
      </w:r>
    </w:p>
    <w:p>
      <w:pPr>
        <w:spacing w:after="0" w:line="129" w:lineRule="exact"/>
        <w:rPr>
          <w:sz w:val="20"/>
          <w:szCs w:val="20"/>
          <w:color w:val="auto"/>
        </w:rPr>
      </w:pPr>
    </w:p>
    <w:p>
      <w:pPr>
        <w:ind w:right="640" w:firstLine="921"/>
        <w:spacing w:after="0" w:line="277" w:lineRule="auto"/>
        <w:tabs>
          <w:tab w:leader="none" w:pos="1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where it relates to a Treaty Lender that is a Lender on the Closing Date, contains the scheme reference number and jurisdiction of tax residence of that Lender; and</w:t>
      </w:r>
    </w:p>
    <w:p>
      <w:pPr>
        <w:spacing w:after="0" w:line="62" w:lineRule="exact"/>
        <w:rPr>
          <w:rFonts w:ascii="Arial" w:cs="Arial" w:eastAsia="Arial" w:hAnsi="Arial"/>
          <w:sz w:val="18"/>
          <w:szCs w:val="18"/>
          <w:color w:val="auto"/>
        </w:rPr>
      </w:pPr>
    </w:p>
    <w:p>
      <w:pPr>
        <w:ind w:right="200" w:firstLine="1492"/>
        <w:spacing w:after="0" w:line="277" w:lineRule="auto"/>
        <w:tabs>
          <w:tab w:leader="none" w:pos="1698"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where the applicable UK Borrower is a Borrower as at the date on which that Treaty Lender becomes a party to this Agreement as a Lender, is filed with HM Revenue &amp; Customs within 30 days of that date; or</w:t>
      </w:r>
    </w:p>
    <w:p>
      <w:pPr>
        <w:spacing w:after="0" w:line="62" w:lineRule="exact"/>
        <w:rPr>
          <w:rFonts w:ascii="Arial" w:cs="Arial" w:eastAsia="Arial" w:hAnsi="Arial"/>
          <w:sz w:val="18"/>
          <w:szCs w:val="18"/>
          <w:color w:val="auto"/>
        </w:rPr>
      </w:pPr>
    </w:p>
    <w:p>
      <w:pPr>
        <w:ind w:right="80" w:firstLine="1492"/>
        <w:spacing w:after="0" w:line="277" w:lineRule="auto"/>
        <w:tabs>
          <w:tab w:leader="none" w:pos="1748"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where the UK Borrower is not a Borrower as at the date on which that Treaty Lender becomes a party to this Agreement as a Lender, is filed with HM Revenue &amp; Customs within 30 days of the date on which that UK Borrower becomes a Borrower; or</w:t>
      </w:r>
    </w:p>
    <w:p>
      <w:pPr>
        <w:spacing w:after="0" w:line="62" w:lineRule="exact"/>
        <w:rPr>
          <w:rFonts w:ascii="Arial" w:cs="Arial" w:eastAsia="Arial" w:hAnsi="Arial"/>
          <w:sz w:val="18"/>
          <w:szCs w:val="18"/>
          <w:color w:val="auto"/>
        </w:rPr>
      </w:pPr>
    </w:p>
    <w:p>
      <w:pPr>
        <w:ind w:right="360" w:firstLine="921"/>
        <w:spacing w:after="0" w:line="342" w:lineRule="auto"/>
        <w:tabs>
          <w:tab w:leader="none" w:pos="1168"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where it relates to a Treaty Lender that is not a Lender on the Closing Date, contains the scheme reference number and jurisdiction of tax residence stated in respect of that Lender in the Assignment and Acceptance which it executes on becoming a party to this Agreement as a Lender; and</w:t>
      </w:r>
    </w:p>
    <w:p>
      <w:pPr>
        <w:spacing w:after="0" w:line="15" w:lineRule="exact"/>
        <w:rPr>
          <w:rFonts w:ascii="Arial" w:cs="Arial" w:eastAsia="Arial" w:hAnsi="Arial"/>
          <w:sz w:val="16"/>
          <w:szCs w:val="16"/>
          <w:color w:val="auto"/>
        </w:rPr>
      </w:pPr>
    </w:p>
    <w:p>
      <w:pPr>
        <w:ind w:right="200" w:firstLine="1492"/>
        <w:spacing w:after="0" w:line="277" w:lineRule="auto"/>
        <w:tabs>
          <w:tab w:leader="none" w:pos="1698"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where the applicable UK Borrower is a Borrower as at the date on which that Treaty Lender becomes a party to this Agreement as a Lender, is filed with HM Revenue &amp; Customs within 30 days of that date; or</w:t>
      </w:r>
    </w:p>
    <w:p>
      <w:pPr>
        <w:spacing w:after="0" w:line="62" w:lineRule="exact"/>
        <w:rPr>
          <w:rFonts w:ascii="Arial" w:cs="Arial" w:eastAsia="Arial" w:hAnsi="Arial"/>
          <w:sz w:val="18"/>
          <w:szCs w:val="18"/>
          <w:color w:val="auto"/>
        </w:rPr>
      </w:pPr>
    </w:p>
    <w:p>
      <w:pPr>
        <w:ind w:right="80" w:firstLine="1492"/>
        <w:spacing w:after="0" w:line="277" w:lineRule="auto"/>
        <w:tabs>
          <w:tab w:leader="none" w:pos="1748"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where the UK Borrower is not a Borrower as at the date on which that Treaty Lender becomes a party to this Agreement as a Lender, is filed with HM Revenue &amp; Customs within 30 days of the date on which that UK Borrower becomes a Borrower.</w:t>
      </w:r>
    </w:p>
    <w:p>
      <w:pPr>
        <w:spacing w:after="0" w:line="17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that is not a Saturday, Sunday, or other day on which banks are authorized or required to close in the state of New York or Georgia, except that (a) if a determination of a Business Day shall relate to a Non-Base Rate Loan, the term “Business Day” also shall exclude any day on which banks are closed for dealings in Dollar deposits in the London interbank market, (b) if a determination of a Business Day shall relate to a Canadian Revolving Loan or Canadian Letter of Credit (including a request therefor), the term “Business Day” also shall exclude any day on which banks are authorized or required to close in Toronto, Ontario, or Calgary, Alberta, Canada and (c) if a determination of a Business Day shall relate to a UK Revolving Loan or UK Letter of Credit (including a request therefor), the term “Business Day” also shall exclude any day on which banks in the United Kingdom are closed for the purposes of making wire transfers or any other electronic transfer of funds.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9" w:name="page20"/>
    <w:bookmarkEnd w:id="1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Section 17.17</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 Date</w:t>
      </w:r>
      <w:r>
        <w:rPr>
          <w:rFonts w:ascii="Arial" w:cs="Arial" w:eastAsia="Arial" w:hAnsi="Arial"/>
          <w:sz w:val="18"/>
          <w:szCs w:val="18"/>
          <w:color w:val="auto"/>
        </w:rPr>
        <w:t xml:space="preserve">” means the date on which any event referred to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shall occur in respect of any Borrower, the date on which the Loans are accelerated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or the Maturity Date (unless the Obligations are paid in full on the Maturity Date).</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Percentage</w:t>
      </w:r>
      <w:r>
        <w:rPr>
          <w:rFonts w:ascii="Arial" w:cs="Arial" w:eastAsia="Arial" w:hAnsi="Arial"/>
          <w:sz w:val="18"/>
          <w:szCs w:val="18"/>
          <w:color w:val="auto"/>
        </w:rPr>
        <w:t>” means, as to each Lender, a fraction, expressed as a decimal, of which (a) the numerator shall be the aggregate Dollar Equivalent of the Obligations owed to such Lender (whether or not at the time due and payable) and such Lender’s participations in undrawn amounts of Letters of Credit immediately prior to the CAM Exchange Date and (b) the denominator shall be the aggregate Dollar Equivalent (as so determined) of the Obligations owed to all the Lenders (whether or not at the time due and payable) and the aggregate undrawn amount of all Letters of Credit immediately prior to the CAM Exchange Date.</w:t>
      </w:r>
    </w:p>
    <w:p>
      <w:pPr>
        <w:spacing w:after="0" w:line="188"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Availability</w:t>
      </w:r>
      <w:r>
        <w:rPr>
          <w:rFonts w:ascii="Arial" w:cs="Arial" w:eastAsia="Arial" w:hAnsi="Arial"/>
          <w:sz w:val="18"/>
          <w:szCs w:val="18"/>
          <w:color w:val="auto"/>
        </w:rPr>
        <w:t xml:space="preserve">” means, as of any date of determination, the Dollar Equivalent amount that Canadian Borrowers are entitled to borrow as Canadian Revolving Loans under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the Agreement (after giving effect to the then outstanding Canadian Revolver Usage, UK Revolver Usage and US Revolver Usage).</w:t>
      </w:r>
    </w:p>
    <w:p>
      <w:pPr>
        <w:spacing w:after="0" w:line="18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Anti-Money Laundering &amp; Anti-Terrorism Legislation</w:t>
      </w:r>
      <w:r>
        <w:rPr>
          <w:rFonts w:ascii="Arial" w:cs="Arial" w:eastAsia="Arial" w:hAnsi="Arial"/>
          <w:sz w:val="16"/>
          <w:szCs w:val="16"/>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54"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Bank Product</w:t>
      </w:r>
      <w:r>
        <w:rPr>
          <w:rFonts w:ascii="Arial" w:cs="Arial" w:eastAsia="Arial" w:hAnsi="Arial"/>
          <w:sz w:val="16"/>
          <w:szCs w:val="16"/>
          <w:color w:val="auto"/>
        </w:rPr>
        <w:t>” means any one or more of the following financial products or accommodations extended to a Canadian Loan Party by a Bank Product Provider: (a) credit cards (including commercial credit cards (including so-called “purchase cards”, “procurement cards” or “</w:t>
      </w:r>
      <w:r>
        <w:rPr>
          <w:rFonts w:ascii="Arial" w:cs="Arial" w:eastAsia="Arial" w:hAnsi="Arial"/>
          <w:sz w:val="16"/>
          <w:szCs w:val="16"/>
          <w:u w:val="single" w:color="auto"/>
          <w:color w:val="auto"/>
        </w:rPr>
        <w:t>P-cards</w:t>
      </w:r>
      <w:r>
        <w:rPr>
          <w:rFonts w:ascii="Arial" w:cs="Arial" w:eastAsia="Arial" w:hAnsi="Arial"/>
          <w:sz w:val="16"/>
          <w:szCs w:val="16"/>
          <w:color w:val="auto"/>
        </w:rPr>
        <w:t>”)), (b) credit card processing services, (c) debit cards, (d) stored value cards, (e) Cash Management Services, or (f) transactions under Hedge Agreements.</w:t>
      </w:r>
    </w:p>
    <w:p>
      <w:pPr>
        <w:spacing w:after="0" w:line="14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Bank Product Agreements</w:t>
      </w:r>
      <w:r>
        <w:rPr>
          <w:rFonts w:ascii="Arial" w:cs="Arial" w:eastAsia="Arial" w:hAnsi="Arial"/>
          <w:sz w:val="18"/>
          <w:szCs w:val="18"/>
          <w:color w:val="auto"/>
        </w:rPr>
        <w:t>” means those agreements entered into from time to time by a Canadian Loan Party with a Bank Product Provider in connection with the obtaining of any of the Canadian Bank Products.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Bank Product Obligations</w:t>
      </w:r>
      <w:r>
        <w:rPr>
          <w:rFonts w:ascii="Arial" w:cs="Arial" w:eastAsia="Arial" w:hAnsi="Arial"/>
          <w:sz w:val="18"/>
          <w:szCs w:val="18"/>
          <w:color w:val="auto"/>
        </w:rPr>
        <w:t>” means (a) all obligations, liabilities, reimbursement obligations, fees, or expenses owing by Canadian Loan Parties to any Bank Product Provider pursuant to or evidenced by a Canadian Bank Product Agreement and irrespective of whether for the payment of money, whether direct or indirect, absolute or contingent, due or to become due, now existing or hereafter arising, (b) all Canadian Hedge Obligations, and (c) all amounts that Agent or any Lender is obligated to pay to a Bank Product</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0" w:name="page21"/>
    <w:bookmarkEnd w:id="20"/>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Provider as a result of Agent or such Lender purchasing participations from, or executing guarantees or indemnities or reimbursement obligations to, a Bank Product Provider with respect to the Canadian Bank Products provided by such Bank Product Provider to Canadian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in order for any item described in clauses (a), (b), or (c) above, as applicable, to constitute “Canadian Bank Product Obligations”, if the applicable Bank Product Provider is any Person other than Wells Fargo or its Affiliates, then the applicable Canadian Bank Product must have been provided on or after the Closing Date and Agent shall have received a Bank Product Provider Agreement within 10 days after the date of the provision of the applicable Canadian Bank Product to a Canadian Loan Party.</w:t>
      </w:r>
    </w:p>
    <w:p>
      <w:pPr>
        <w:spacing w:after="0" w:line="193"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Bank Product Reserves</w:t>
      </w:r>
      <w:r>
        <w:rPr>
          <w:rFonts w:ascii="Arial" w:cs="Arial" w:eastAsia="Arial" w:hAnsi="Arial"/>
          <w:sz w:val="16"/>
          <w:szCs w:val="16"/>
          <w:color w:val="auto"/>
        </w:rPr>
        <w:t>” means, as of any date of determination, those reserves, without duplication of any other reserve, that Agent deems necessary or appropriate in its Permitted Discretion to establish (based upon the Bank Product Providers’ reasonable determination of the liabilities and obligations of Canadian Loan Parties in respect of Canadian Bank Product Obligations) in respect of Canadian Bank Products then provided or outstanding.</w:t>
      </w:r>
    </w:p>
    <w:p>
      <w:pPr>
        <w:spacing w:after="0" w:line="14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Rate</w:t>
      </w:r>
      <w:r>
        <w:rPr>
          <w:rFonts w:ascii="Arial" w:cs="Arial" w:eastAsia="Arial" w:hAnsi="Arial"/>
          <w:sz w:val="18"/>
          <w:szCs w:val="18"/>
          <w:color w:val="auto"/>
        </w:rPr>
        <w:t xml:space="preserve">” means, for any day, a rate per annum equal to the greater of (a) the CDOR Rate existing on such day (which rate shall be calculated based upon an Interest Period of 1 month), plus 1 percentage point, and (b) the “prime rate” for Canadian Dollar commercial loans made in Canada as reported by Thomson Reuters under Reuters Instrument Code </w:t>
      </w:r>
      <w:r>
        <w:rPr>
          <w:rFonts w:ascii="Arial" w:cs="Arial" w:eastAsia="Arial" w:hAnsi="Arial"/>
          <w:sz w:val="18"/>
          <w:szCs w:val="18"/>
          <w:i w:val="1"/>
          <w:iCs w:val="1"/>
          <w:color w:val="auto"/>
        </w:rPr>
        <w:t>&lt;CAPRIME=&gt;</w:t>
      </w:r>
      <w:r>
        <w:rPr>
          <w:rFonts w:ascii="Arial" w:cs="Arial" w:eastAsia="Arial" w:hAnsi="Arial"/>
          <w:sz w:val="18"/>
          <w:szCs w:val="18"/>
          <w:color w:val="auto"/>
        </w:rPr>
        <w:t xml:space="preserve"> on the “CA Prime Rate (Domestic Interest Rate) – Composite Display” page (or any successor page or such other commercially available service or source (including the Canadian Dollar “prime rate” announced by a Schedule I bank under the Bank Act (Canada)) as the Agent may designate from time to time). Each determination of the Canadian Base Rate shall be made by the Agent and shall be conclusive in the absence of manifest error.</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Benefit Plans</w:t>
      </w:r>
      <w:r>
        <w:rPr>
          <w:rFonts w:ascii="Arial" w:cs="Arial" w:eastAsia="Arial" w:hAnsi="Arial"/>
          <w:sz w:val="18"/>
          <w:szCs w:val="18"/>
          <w:color w:val="auto"/>
        </w:rPr>
        <w:t>” means any plan, fund, program, or policy, whether oral or written, formal or informal, funded or unfunded, insured or uninsured, providing material employee benefits, including medical, hospital care, dental, sickness, accident, disability, life insurance, retirement or savings benefits, under which a Canadian Loan Party or any other Subsidiary of any Borrower organized under the laws of Canada or any territory or province thereof has any liability with respect to any employee or former employee based in Canada. For the avoidance of doubt, “Canadian Benefit Plan” excludes any Canadian Pension Plan.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Borrowers</w:t>
      </w:r>
      <w:r>
        <w:rPr>
          <w:rFonts w:ascii="Arial" w:cs="Arial" w:eastAsia="Arial" w:hAnsi="Arial"/>
          <w:sz w:val="18"/>
          <w:szCs w:val="18"/>
          <w:color w:val="auto"/>
        </w:rPr>
        <w:t>” has the meaning specified therefor in the preamble to the Agreement.</w:t>
      </w:r>
    </w:p>
    <w:p>
      <w:pPr>
        <w:spacing w:after="0" w:line="225"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Borrowing</w:t>
      </w:r>
      <w:r>
        <w:rPr>
          <w:rFonts w:ascii="Arial" w:cs="Arial" w:eastAsia="Arial" w:hAnsi="Arial"/>
          <w:sz w:val="17"/>
          <w:szCs w:val="17"/>
          <w:color w:val="auto"/>
        </w:rPr>
        <w:t>” means a borrowing consisting of Canadian Revolving Loans made on the same day by the Lenders (or Agent on behalf thereof), or by Canadian Swing Lender in the case of a Canadian Swing Loan, or by Agent in the case of a Canadian Extraordinary Advance.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Borrowing Base</w:t>
      </w:r>
      <w:r>
        <w:rPr>
          <w:rFonts w:ascii="Arial" w:cs="Arial" w:eastAsia="Arial" w:hAnsi="Arial"/>
          <w:sz w:val="18"/>
          <w:szCs w:val="18"/>
          <w:color w:val="auto"/>
        </w:rPr>
        <w:t>” means, as of any date of determination, the Dollar Equivalent amount of:</w:t>
      </w:r>
    </w:p>
    <w:p>
      <w:pPr>
        <w:spacing w:after="0" w:line="117" w:lineRule="exact"/>
        <w:rPr>
          <w:sz w:val="20"/>
          <w:szCs w:val="20"/>
          <w:color w:val="auto"/>
        </w:rPr>
      </w:pPr>
    </w:p>
    <w:p>
      <w:pPr>
        <w:ind w:right="140" w:firstLine="921"/>
        <w:spacing w:after="0" w:line="264" w:lineRule="auto"/>
        <w:tabs>
          <w:tab w:leader="none" w:pos="115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90% of the amount of Eligible Accounts of each Canadian Loan Party owing by Account Debtors that are rated (or whose parent is rated) Baa3 or higher from Moody’s or BBB- or higher from S&amp;P,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Canadian Dilution Reserve attributable to such Eligible Accounts, </w:t>
      </w:r>
      <w:r>
        <w:rPr>
          <w:rFonts w:ascii="Arial" w:cs="Arial" w:eastAsia="Arial" w:hAnsi="Arial"/>
          <w:sz w:val="18"/>
          <w:szCs w:val="18"/>
          <w:i w:val="1"/>
          <w:iCs w:val="1"/>
          <w:u w:val="single" w:color="auto"/>
          <w:color w:val="auto"/>
        </w:rPr>
        <w:t>plus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1" w:name="page22"/>
    <w:bookmarkEnd w:id="21"/>
    <w:p>
      <w:pPr>
        <w:ind w:right="80" w:firstLine="921"/>
        <w:spacing w:after="0" w:line="277"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85% of the amount of Eligible Accounts of each Canadian Loan Party owing by Account Debtors other than those described in the foregoing clause (a),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Canadian Dilution Reserve attributable to such Eligible Accounts, </w:t>
      </w:r>
      <w:r>
        <w:rPr>
          <w:rFonts w:ascii="Arial" w:cs="Arial" w:eastAsia="Arial" w:hAnsi="Arial"/>
          <w:sz w:val="18"/>
          <w:szCs w:val="18"/>
          <w:i w:val="1"/>
          <w:iCs w:val="1"/>
          <w:u w:val="single" w:color="auto"/>
          <w:color w:val="auto"/>
        </w:rPr>
        <w:t>plus</w:t>
      </w:r>
    </w:p>
    <w:p>
      <w:pPr>
        <w:spacing w:after="0" w:line="62" w:lineRule="exact"/>
        <w:rPr>
          <w:rFonts w:ascii="Arial" w:cs="Arial" w:eastAsia="Arial" w:hAnsi="Arial"/>
          <w:sz w:val="18"/>
          <w:szCs w:val="18"/>
          <w:color w:val="auto"/>
        </w:rPr>
      </w:pPr>
    </w:p>
    <w:p>
      <w:pPr>
        <w:ind w:firstLine="921"/>
        <w:spacing w:after="0" w:line="255" w:lineRule="auto"/>
        <w:tabs>
          <w:tab w:leader="none" w:pos="115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lesser of (i) the product of 70% multiplied by the value (calculated at the lower of cost or market on a basis consistent with Canadian Loan Parties’ historical accounting practices) of Eligible Finished Goods Inventory of each Canadian Loan Party at such time, and (ii) the product of 85% multiplied by the Net Recovery Percentage identified in the most recent Acceptable Appraisal of Inventory, multiplied by the value (calculated at the lower of cost or market on a basis consistent with Canadian Loan Parties’ historical accounting practices) of Eligible Finished Goods Inventory of each Canadian Loan Party (such determination may be made as to different categories of Eligible Finished Goods Inventory based upon the Net Recovery Percentage applicable to such categories) at such time, </w:t>
      </w:r>
      <w:r>
        <w:rPr>
          <w:rFonts w:ascii="Arial" w:cs="Arial" w:eastAsia="Arial" w:hAnsi="Arial"/>
          <w:sz w:val="18"/>
          <w:szCs w:val="18"/>
          <w:i w:val="1"/>
          <w:iCs w:val="1"/>
          <w:u w:val="single" w:color="auto"/>
          <w:color w:val="auto"/>
        </w:rPr>
        <w:t>plus</w:t>
      </w:r>
    </w:p>
    <w:p>
      <w:pPr>
        <w:spacing w:after="0" w:line="85" w:lineRule="exact"/>
        <w:rPr>
          <w:rFonts w:ascii="Arial" w:cs="Arial" w:eastAsia="Arial" w:hAnsi="Arial"/>
          <w:sz w:val="18"/>
          <w:szCs w:val="18"/>
          <w:color w:val="auto"/>
        </w:rPr>
      </w:pPr>
    </w:p>
    <w:p>
      <w:pPr>
        <w:ind w:right="300" w:firstLine="921"/>
        <w:spacing w:after="0" w:line="277"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amount by which the US Borrowing Base at such time exceeds the sum of US Revolver Usage plus UK Revolver Usage predicated on clause (d) of the definition of UK Borrowing Base at such time, </w:t>
      </w:r>
      <w:r>
        <w:rPr>
          <w:rFonts w:ascii="Arial" w:cs="Arial" w:eastAsia="Arial" w:hAnsi="Arial"/>
          <w:sz w:val="18"/>
          <w:szCs w:val="18"/>
          <w:i w:val="1"/>
          <w:iCs w:val="1"/>
          <w:u w:val="single" w:color="auto"/>
          <w:color w:val="auto"/>
        </w:rPr>
        <w:t>minus</w:t>
      </w:r>
    </w:p>
    <w:p>
      <w:pPr>
        <w:spacing w:after="0" w:line="62" w:lineRule="exact"/>
        <w:rPr>
          <w:rFonts w:ascii="Arial" w:cs="Arial" w:eastAsia="Arial" w:hAnsi="Arial"/>
          <w:sz w:val="18"/>
          <w:szCs w:val="18"/>
          <w:color w:val="auto"/>
        </w:rPr>
      </w:pPr>
    </w:p>
    <w:p>
      <w:pPr>
        <w:ind w:right="100" w:firstLine="921"/>
        <w:spacing w:after="0" w:line="308" w:lineRule="auto"/>
        <w:tabs>
          <w:tab w:leader="none" w:pos="115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without duplication, the aggregate amount of Receivables Reserves, Bank Product Reserves, Inventory Reserves, Canadian Priority Payables Reserves and other Reserves, in each case if any, established by Agent from time to time under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of this Agreement.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Copyright Security Agreement</w:t>
      </w:r>
      <w:r>
        <w:rPr>
          <w:rFonts w:ascii="Arial" w:cs="Arial" w:eastAsia="Arial" w:hAnsi="Arial"/>
          <w:sz w:val="18"/>
          <w:szCs w:val="18"/>
          <w:color w:val="auto"/>
        </w:rPr>
        <w:t>” has the meaning specified therefor in the Canadian Security Agreement.</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Defined Benefit Plan</w:t>
      </w:r>
      <w:r>
        <w:rPr>
          <w:rFonts w:ascii="Arial" w:cs="Arial" w:eastAsia="Arial" w:hAnsi="Arial"/>
          <w:sz w:val="18"/>
          <w:szCs w:val="18"/>
          <w:color w:val="auto"/>
        </w:rPr>
        <w:t>” means any Canadian Pension Plan which contains a “defined benefit provision” as defined in subsection 147.1(1) of the Income Tax Act (Canada).</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Designated Account</w:t>
      </w:r>
      <w:r>
        <w:rPr>
          <w:rFonts w:ascii="Arial" w:cs="Arial" w:eastAsia="Arial" w:hAnsi="Arial"/>
          <w:sz w:val="18"/>
          <w:szCs w:val="18"/>
          <w:color w:val="auto"/>
        </w:rPr>
        <w:t xml:space="preserve">” means the Canadian Deposit Account of DNOWC identified on </w:t>
      </w:r>
      <w:r>
        <w:rPr>
          <w:rFonts w:ascii="Arial" w:cs="Arial" w:eastAsia="Arial" w:hAnsi="Arial"/>
          <w:sz w:val="18"/>
          <w:szCs w:val="18"/>
          <w:u w:val="single" w:color="auto"/>
          <w:color w:val="auto"/>
        </w:rPr>
        <w:t>Schedule D-1</w:t>
      </w:r>
      <w:r>
        <w:rPr>
          <w:rFonts w:ascii="Arial" w:cs="Arial" w:eastAsia="Arial" w:hAnsi="Arial"/>
          <w:sz w:val="18"/>
          <w:szCs w:val="18"/>
          <w:color w:val="auto"/>
        </w:rPr>
        <w:t xml:space="preserve"> to the Agreement (or such other Deposit Account of a Canadian Borrower located at Canadian Designated Account Bank that has been designated as such, in writing, by a Canadian Borrower to Agent).</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Designated Account Bank</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Schedule D-1</w:t>
      </w:r>
      <w:r>
        <w:rPr>
          <w:rFonts w:ascii="Arial" w:cs="Arial" w:eastAsia="Arial" w:hAnsi="Arial"/>
          <w:sz w:val="18"/>
          <w:szCs w:val="18"/>
          <w:color w:val="auto"/>
        </w:rPr>
        <w:t xml:space="preserve"> to the Agreement (or such other bank that is located within Canada that has been designated as such, in writing, by a Canadian Borrower to Agent).</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Dilution</w:t>
      </w:r>
      <w:r>
        <w:rPr>
          <w:rFonts w:ascii="Arial" w:cs="Arial" w:eastAsia="Arial" w:hAnsi="Arial"/>
          <w:sz w:val="18"/>
          <w:szCs w:val="18"/>
          <w:color w:val="auto"/>
        </w:rPr>
        <w:t>” means, as of any date of determination, a percentage, based upon the experience of the immediately prior 12 months, that is the result of dividing (a) the Dollar Equivalent amount of bad debt write-downs, discounts, advertising allowances, credits, or other dilutive items with respect to Canadian Borrowers’ Accounts during such period, by (b) the Dollar Equivalent amount of Canadian Borrowers’ billings with respect to Accounts during such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2" w:name="page23"/>
    <w:bookmarkEnd w:id="22"/>
    <w:p>
      <w:pPr>
        <w:jc w:val="both"/>
        <w:ind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Canadian Dilution Reserve</w:t>
      </w:r>
      <w:r>
        <w:rPr>
          <w:rFonts w:ascii="Arial" w:cs="Arial" w:eastAsia="Arial" w:hAnsi="Arial"/>
          <w:sz w:val="16"/>
          <w:szCs w:val="16"/>
          <w:color w:val="auto"/>
        </w:rPr>
        <w:t>” means, as of any date of determination, an amount, without duplication of any other reserve, sufficient to reduce the advance rate against Eligible Accounts of Canadian Loan Parties by 1 percentage point for each percentage point by which Dilution is in excess of 5%.</w:t>
      </w:r>
    </w:p>
    <w:p>
      <w:pPr>
        <w:spacing w:after="0" w:line="12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Equivalent</w:t>
      </w:r>
      <w:r>
        <w:rPr>
          <w:rFonts w:ascii="Arial" w:cs="Arial" w:eastAsia="Arial" w:hAnsi="Arial"/>
          <w:sz w:val="18"/>
          <w:szCs w:val="18"/>
          <w:color w:val="auto"/>
        </w:rPr>
        <w:t>” means, at any time, with respect to any amount denominated in Dollars, the equivalent amount thereof in Canadian Dollars as reasonably determined by Agent at such time on the basis of the Spot Rate (determined in respect of the most recent Revaluation Date or such other date as reasonably determined by Agent) for the purchase of Canadian Dollars with Dollars.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Cdn$</w:t>
      </w:r>
      <w:r>
        <w:rPr>
          <w:rFonts w:ascii="Arial" w:cs="Arial" w:eastAsia="Arial" w:hAnsi="Arial"/>
          <w:sz w:val="18"/>
          <w:szCs w:val="18"/>
          <w:color w:val="auto"/>
        </w:rPr>
        <w:t>” means the lawful currency of Canada,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Extraordinary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2.3(d)(iii)</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Guarantor</w:t>
      </w:r>
      <w:r>
        <w:rPr>
          <w:rFonts w:ascii="Arial" w:cs="Arial" w:eastAsia="Arial" w:hAnsi="Arial"/>
          <w:sz w:val="18"/>
          <w:szCs w:val="18"/>
          <w:color w:val="auto"/>
        </w:rPr>
        <w:t>” means (a) each Subsidiary of Parent (other than an Immaterial Subsidiary) organized under the laws of Canada, or any province or territory thereof, that is or becomes a guarantor of all or any part of the Foreign Obligations and (b) each other Person that guaranties all or a part of the Foreign Obligations pursuant to the Canadian Security Agreement.</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Hedge Obligations</w:t>
      </w:r>
      <w:r>
        <w:rPr>
          <w:rFonts w:ascii="Arial" w:cs="Arial" w:eastAsia="Arial" w:hAnsi="Arial"/>
          <w:sz w:val="18"/>
          <w:szCs w:val="18"/>
          <w:color w:val="auto"/>
        </w:rPr>
        <w:t>” means any and all obligations or liabilities, whether absolute or contingent, due or to become due, now existing or hereafter arising, of any Canadian Loan Party arising under, owing pursuant to, or existing in respect of Hedge Agreements entered into with one or more of the Hedge Providers.</w:t>
      </w:r>
    </w:p>
    <w:p>
      <w:pPr>
        <w:spacing w:after="0" w:line="181"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Issuing Lender</w:t>
      </w:r>
      <w:r>
        <w:rPr>
          <w:rFonts w:ascii="Arial" w:cs="Arial" w:eastAsia="Arial" w:hAnsi="Arial"/>
          <w:sz w:val="16"/>
          <w:szCs w:val="16"/>
          <w:color w:val="auto"/>
        </w:rPr>
        <w:t xml:space="preserve">” means Wells Fargo, WF Canada and up to three other Lenders designated in writing to, and consented to by, the Agent (such consent not to be unreasonably withheld, conditioned or delayed) by the Administrative Borrower that agree, in such Lender’s sole discretion, to become a Canadian Issuing Lender for the purpose of issuing Canadian Letters of Credit or, if WF Canada is the Canadian Issuing Lender, issuing Canadian Reimbursement Undertakings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of the Agreement and Canadian Issuing Lender shall be a Lender. For the avoidance of doubt, no Canadian Issuing Lender other than WF Canada may issue a Canadian Reimbursement Undertaking without Agent’s prior written consent.</w:t>
      </w:r>
    </w:p>
    <w:p>
      <w:pPr>
        <w:spacing w:after="0" w:line="158"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w:t>
      </w:r>
      <w:r>
        <w:rPr>
          <w:rFonts w:ascii="Arial" w:cs="Arial" w:eastAsia="Arial" w:hAnsi="Arial"/>
          <w:sz w:val="18"/>
          <w:szCs w:val="18"/>
          <w:color w:val="auto"/>
        </w:rPr>
        <w:t>” means a letter of credit (as that term is defined in the Code) issued by Canadian Issuing Lender or Canadian Underlying Issuer for the account of Canadian Borrower.</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 Disbursement</w:t>
      </w:r>
      <w:r>
        <w:rPr>
          <w:rFonts w:ascii="Arial" w:cs="Arial" w:eastAsia="Arial" w:hAnsi="Arial"/>
          <w:sz w:val="18"/>
          <w:szCs w:val="18"/>
          <w:color w:val="auto"/>
        </w:rPr>
        <w:t>” means a payment made by Canadian Issuing Lender pursuant to a Canadian Letter of Credit or a Canadian Reimbursement Undertaking.</w:t>
      </w:r>
    </w:p>
    <w:p>
      <w:pPr>
        <w:spacing w:after="0" w:line="170"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Letter of Credit Exposure</w:t>
      </w:r>
      <w:r>
        <w:rPr>
          <w:rFonts w:ascii="Arial" w:cs="Arial" w:eastAsia="Arial" w:hAnsi="Arial"/>
          <w:sz w:val="16"/>
          <w:szCs w:val="16"/>
          <w:color w:val="auto"/>
        </w:rPr>
        <w:t>” means, as of any date of determination with respect to any Lender, such Lender’s Pro Rata Share of the Canadian Letter of Credit Usage on such date (including such Lender’s Pro Rata Share of Canadian Reimbursement Undertakings on such date).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3" w:name="page24"/>
    <w:bookmarkEnd w:id="2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Canadian Letter of Credit Usage</w:t>
      </w:r>
      <w:r>
        <w:rPr>
          <w:rFonts w:ascii="Arial" w:cs="Arial" w:eastAsia="Arial" w:hAnsi="Arial"/>
          <w:sz w:val="16"/>
          <w:szCs w:val="16"/>
          <w:color w:val="auto"/>
        </w:rPr>
        <w:t>” means, as of any date of determination, the aggregate undrawn amount of all outstanding Canadian Letters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Loan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Loan Party</w:t>
      </w:r>
      <w:r>
        <w:rPr>
          <w:rFonts w:ascii="Arial" w:cs="Arial" w:eastAsia="Arial" w:hAnsi="Arial"/>
          <w:sz w:val="18"/>
          <w:szCs w:val="18"/>
          <w:color w:val="auto"/>
        </w:rPr>
        <w:t>” means any Canadian Borrower or any Canadian Guarantor organized under the laws of Canada or any province or territory thereof.</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Maximum Revolver Amount</w:t>
      </w:r>
      <w:r>
        <w:rPr>
          <w:rFonts w:ascii="Arial" w:cs="Arial" w:eastAsia="Arial" w:hAnsi="Arial"/>
          <w:sz w:val="18"/>
          <w:szCs w:val="18"/>
          <w:color w:val="auto"/>
        </w:rPr>
        <w:t xml:space="preserve">” means $100,000,000, decreased by the amount of reductions in the Canadian Revolver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of the Agreement.</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Obligations</w:t>
      </w:r>
      <w:r>
        <w:rPr>
          <w:rFonts w:ascii="Arial" w:cs="Arial" w:eastAsia="Arial" w:hAnsi="Arial"/>
          <w:sz w:val="16"/>
          <w:szCs w:val="16"/>
          <w:color w:val="auto"/>
        </w:rPr>
        <w:t xml:space="preserve">” means (a) all loans (including Canadian Revolving Loans (inclusive of Canadian Extraordinary Advances and Canadian Swing Loans)), debts, principal, interest (including any interest that accrues after the commencement of an Insolvency Proceeding, regardless of whether allowed or allowable in whole or in part as a claim in any such Insolvency Proceeding), premiums, liabilities (including all amounts charged to the Canadian Loan Account pursuant to the Agreement), obligations (including indemnification obligations) of any Canadian Loan Party, fees (including the fees provided for in the Fee Letter) of any Canadian Loan Party, Lender Group Expenses (including any fees or expenses that accrue after the commencement of an Insolvency Proceeding, regardless of whether allowed or allowable in whole or in part as a claim in any such Insolvency Proceeding) of any Canadian Loan Party, guaranties of any Canadian Loan Party, and all covenants and duties of any other kind and description owing by any Canadian Loan Party arising out of, under, pursuant to, in connection with, or evidenced by the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Canadian Loan Party is required to pay or reimburse by the Loan Documents or by law or otherwise in connection with the Loan Documents, (b) all debts, liabilities, or obligations (including reimbursement and indemnification obligations, irrespective of whether contingent) owing by any Canadian Borrower or any other Canadian Loan Party to Canadian Issuing Lender now or hereafter arising from or in respect of a Canadian Letters of Credit, and (c) all Canadian Bank Product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Canadian Obligations shall not include Excluded Swap Obligations. Without limiting the generality of the foregoing, the Canadian Obligations under the Loan Documents include the obligation to pay (i) the principal of the Canadian Revolving Loans, (ii) interest accrued on the Canadian Revolving Loans, (iii) the amount necessary to reimburse Canadian Issuing Lender for amounts paid or payable pursuant to Canadian Letters of Credit, (iv) Letter of Credit commissions, charges, expenses, and fees, in each case in respect of Canadian Letters of Credit (v) Lender Group Expenses of any Canadian Loan Party, (vi) fees payable by any Canadian Loan Party under the Agreement or any of the other Loan Documents, and (vii) indemnities and other amounts payable by any Canadian Loan Party under any Loan Document (excluding Excluded Swap Obligations). Any reference in the Agreement or in the Loan Documents to the Canadian Obligations shall include all or any portion thereof and any extensions, modifications, renewals, or alterations thereof, both prior and subsequent to any Insolvency Proceeding.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4" w:name="page25"/>
    <w:bookmarkEnd w:id="24"/>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Canadian Overadvance</w:t>
      </w:r>
      <w:r>
        <w:rPr>
          <w:rFonts w:ascii="Arial" w:cs="Arial" w:eastAsia="Arial" w:hAnsi="Arial"/>
          <w:sz w:val="18"/>
          <w:szCs w:val="18"/>
          <w:color w:val="auto"/>
        </w:rPr>
        <w:t xml:space="preserve">” means, as of any date of determination, that the Canadian Revolver Usage is greater than any of the limitations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Patent Security Agreement</w:t>
      </w:r>
      <w:r>
        <w:rPr>
          <w:rFonts w:ascii="Arial" w:cs="Arial" w:eastAsia="Arial" w:hAnsi="Arial"/>
          <w:sz w:val="18"/>
          <w:szCs w:val="18"/>
          <w:color w:val="auto"/>
        </w:rPr>
        <w:t>” has the meaning specified therefor in the Canadian Security Agreement.</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Plans</w:t>
      </w:r>
      <w:r>
        <w:rPr>
          <w:rFonts w:ascii="Arial" w:cs="Arial" w:eastAsia="Arial" w:hAnsi="Arial"/>
          <w:sz w:val="18"/>
          <w:szCs w:val="18"/>
          <w:color w:val="auto"/>
        </w:rPr>
        <w:t>” means each pension plan that is a “registered pension plan” (as defined in the Income Tax Act (Canada)) or that is required to be registered under, or is subject to, the Employment Pension Plans Act (Alberta) or other Canadian federal or provincial law with respect to pension benefit standards and that is maintained or contributed to, or to which there is or may be an obligation to contribute by a Loan Party or a Subsidiary thereof, for its employees or former employees, but does not include the Canada Pension Plan or the Quebec Pension Plan as maintained by the Government of Canada or the Province of Quebec, respectively.</w:t>
      </w:r>
    </w:p>
    <w:p>
      <w:pPr>
        <w:spacing w:after="0" w:line="188"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Priority Payables Reserves</w:t>
      </w:r>
      <w:r>
        <w:rPr>
          <w:rFonts w:ascii="Arial" w:cs="Arial" w:eastAsia="Arial" w:hAnsi="Arial"/>
          <w:sz w:val="16"/>
          <w:szCs w:val="16"/>
          <w:color w:val="auto"/>
        </w:rPr>
        <w:t xml:space="preserve">” means reserves (determined from time to time by Agent in its Permitted Discretion) for (but without duplication of any other reserve): (a) the amount past due and owing by any Canadian Loan Party, or the accrued amount for which such Canadian Loan Party has an obligation to remit, to a Governmental Authority or other Person pursuant to any applicable law, rule or regulation, in respect of (i) goods and services taxes, harmonized sales taxes, other sales taxes, employee income taxes, municipal taxes and other taxes payable or to be remitted or withheld; (ii) workers’ compensation or employment insurance; (iii) federal Canada Pension Plan and Quebec Pension Plan contributions; (iv) vacation or holiday pay; and (v) other like charges and demands, in each case, to the extent that any Governmental Authority or other Person may claim a Lien, trust, deemed trust or other claim ranking or capable of ranking in priority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one or more of the Liens granted in the Loan Documents; and (b) the aggregate amount of any other liabilities of any Canadian Loan Party (i) in respect of which a Lien, trust or deemed trust has been or may be imposed on any Collateral to provide for payment, or (ii) in respect of unpaid or unremitted pension plan contributions, including normal cost contributions, special payments and, without duplication, amounts representing any unfunded liability, solvency deficiency or wind-up deficiency whether or not due with respect to any Canadian Pension Plan, or</w:t>
      </w:r>
    </w:p>
    <w:p>
      <w:pPr>
        <w:spacing w:after="0" w:line="6" w:lineRule="exact"/>
        <w:rPr>
          <w:sz w:val="20"/>
          <w:szCs w:val="20"/>
          <w:color w:val="auto"/>
        </w:rPr>
      </w:pPr>
    </w:p>
    <w:p>
      <w:pPr>
        <w:ind w:right="160" w:firstLine="8"/>
        <w:spacing w:after="0" w:line="253"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which are secured by a Lien, right or claim on any Collateral (other than Permitted Liens that do not have priority over Agent’s Liens); in each case, pursuant to any applicable law, rule or regulation and which such Lien, trust, deemed trust, right or claim ranks or, in the Permitted Discretion of Agent, is capable of ranking in priority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one or more of the Liens granted in the Loan Documents (such as claims by employees for unpaid wages and other amounts payable under the Wage Earner Protection Act (Canada)); in each case net of the aggregate amount of all restricted cash held or set aside by such Canadian Loan Party for the payment of such obligations.</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Protective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of the Agreement.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5" w:name="page26"/>
    <w:bookmarkEnd w:id="2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Canadian Reimbursement Undertaking</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2.11B(a)</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Revolver Commitment</w:t>
      </w:r>
      <w:r>
        <w:rPr>
          <w:rFonts w:ascii="Arial" w:cs="Arial" w:eastAsia="Arial" w:hAnsi="Arial"/>
          <w:sz w:val="18"/>
          <w:szCs w:val="18"/>
          <w:color w:val="auto"/>
        </w:rPr>
        <w:t xml:space="preserve">” means, with respect to each Revolving Lender, its Canadian Revolver Commitment, and, with respect to all Revolving Lenders, their Canadian Revolver Commitments, in each case as set forth beside such Revolving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the Agreement or in the Assignment and Acceptance pursuant to which such Revolving Lender became a Revolving Lender under the Agreement, as such amounts may be reduced or increased from time to time pursuant to assignments made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the Agreement.</w:t>
      </w:r>
    </w:p>
    <w:p>
      <w:pPr>
        <w:spacing w:after="0" w:line="188" w:lineRule="exact"/>
        <w:rPr>
          <w:sz w:val="20"/>
          <w:szCs w:val="20"/>
          <w:color w:val="auto"/>
        </w:rPr>
      </w:pPr>
    </w:p>
    <w:p>
      <w:pPr>
        <w:ind w:right="4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Revolver Usage</w:t>
      </w:r>
      <w:r>
        <w:rPr>
          <w:rFonts w:ascii="Arial" w:cs="Arial" w:eastAsia="Arial" w:hAnsi="Arial"/>
          <w:sz w:val="17"/>
          <w:szCs w:val="17"/>
          <w:color w:val="auto"/>
        </w:rPr>
        <w:t>” means, as of any date of determination, the sum of (a) the amount of outstanding Canadian Revolving Loans (inclusive of Canadian Swing Loans and Canadian Protective Advances), plus (b) the amount of the Canadian Letter of Credit Usage.</w:t>
      </w:r>
    </w:p>
    <w:p>
      <w:pPr>
        <w:spacing w:after="0" w:line="147"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Revolving Loan Exposure</w:t>
      </w:r>
      <w:r>
        <w:rPr>
          <w:rFonts w:ascii="Arial" w:cs="Arial" w:eastAsia="Arial" w:hAnsi="Arial"/>
          <w:sz w:val="17"/>
          <w:szCs w:val="17"/>
          <w:color w:val="auto"/>
        </w:rPr>
        <w:t>” means, with respect to any Revolving Lender, as of any date of determination (a) prior to the termination of the Canadian Revolver Commitments, the amount of such Lender’s Canadian Revolver Commitment, and (b) after the termination of the Canadian Revolver Commitments, the aggregate outstanding principal amount of the Canadian Revolving Loans of such Lender.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Security Agreement</w:t>
      </w:r>
      <w:r>
        <w:rPr>
          <w:rFonts w:ascii="Arial" w:cs="Arial" w:eastAsia="Arial" w:hAnsi="Arial"/>
          <w:sz w:val="18"/>
          <w:szCs w:val="18"/>
          <w:color w:val="auto"/>
        </w:rPr>
        <w:t>” means a Guarantee and Security Agreement dated as of even date with the Agreement, by and among each Canadian Loan Party and Agent.</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Security Documents</w:t>
      </w:r>
      <w:r>
        <w:rPr>
          <w:rFonts w:ascii="Arial" w:cs="Arial" w:eastAsia="Arial" w:hAnsi="Arial"/>
          <w:sz w:val="18"/>
          <w:szCs w:val="18"/>
          <w:color w:val="auto"/>
        </w:rPr>
        <w:t>” means the Canadian Security Agreement and any other Loan Document that grants or purports to grant a Lien on any of the assets or interests, and the proceeds thereof, of any Canadian Loan Party.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Subagent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15.2</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 Lender</w:t>
      </w:r>
      <w:r>
        <w:rPr>
          <w:rFonts w:ascii="Arial" w:cs="Arial" w:eastAsia="Arial" w:hAnsi="Arial"/>
          <w:sz w:val="18"/>
          <w:szCs w:val="18"/>
          <w:color w:val="auto"/>
        </w:rPr>
        <w:t xml:space="preserve">” means WF Canada or any other Lender that, at the request of a Canadian Borrower and with the consent of Agent agrees, in such Lender’s sole discretion, to become the Canadian Swing Lender under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the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 Loan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 Loan Exposure</w:t>
      </w:r>
      <w:r>
        <w:rPr>
          <w:rFonts w:ascii="Arial" w:cs="Arial" w:eastAsia="Arial" w:hAnsi="Arial"/>
          <w:sz w:val="18"/>
          <w:szCs w:val="18"/>
          <w:color w:val="auto"/>
        </w:rPr>
        <w:t>” means, as of any date of determination with respect to any Lender, such Lender’s Pro Rata Share of the Canadian Swing Loans on such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Trademark Security Agreement</w:t>
      </w:r>
      <w:r>
        <w:rPr>
          <w:rFonts w:ascii="Arial" w:cs="Arial" w:eastAsia="Arial" w:hAnsi="Arial"/>
          <w:sz w:val="18"/>
          <w:szCs w:val="18"/>
          <w:color w:val="auto"/>
        </w:rPr>
        <w:t>” has the meaning specified therefor in the Canadian Security Agreement.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74" w:right="359" w:bottom="1440" w:gutter="0" w:footer="0" w:header="0"/>
        </w:sectPr>
      </w:pPr>
    </w:p>
    <w:bookmarkStart w:id="26" w:name="page27"/>
    <w:bookmarkEnd w:id="26"/>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Canadian Underlying Issuer</w:t>
      </w:r>
      <w:r>
        <w:rPr>
          <w:rFonts w:ascii="Arial" w:cs="Arial" w:eastAsia="Arial" w:hAnsi="Arial"/>
          <w:sz w:val="18"/>
          <w:szCs w:val="18"/>
          <w:color w:val="auto"/>
        </w:rPr>
        <w:t>” means The Toronto-Dominion Bank or one of its Affiliates or such other Person that is acceptable to Agent in its Permitted Discretion.</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and (c) expenditures made during such period to consummate one or more Permitted Acquisitions.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 Obligation</w:t>
      </w:r>
      <w:r>
        <w:rPr>
          <w:rFonts w:ascii="Arial" w:cs="Arial" w:eastAsia="Arial" w:hAnsi="Arial"/>
          <w:sz w:val="16"/>
          <w:szCs w:val="16"/>
          <w:color w:val="auto"/>
        </w:rPr>
        <w:t>” means that portion of the obligations under a Capital Lease that is required to be capitalized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that is required to be capitalized for financial reporting purposes in accordance with GAAP.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Dominion Period</w:t>
      </w:r>
      <w:r>
        <w:rPr>
          <w:rFonts w:ascii="Arial" w:cs="Arial" w:eastAsia="Arial" w:hAnsi="Arial"/>
          <w:sz w:val="18"/>
          <w:szCs w:val="18"/>
          <w:color w:val="auto"/>
        </w:rPr>
        <w:t>” has the meaning ascribed thereto in the US Security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Domestic Cash Equivalents; and (b) Foreign Cash Equivalents.</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customary cash management arrangements.</w:t>
      </w:r>
    </w:p>
    <w:p>
      <w:pPr>
        <w:spacing w:after="0" w:line="18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Rate</w:t>
      </w:r>
      <w:r>
        <w:rPr>
          <w:rFonts w:ascii="Arial" w:cs="Arial" w:eastAsia="Arial" w:hAnsi="Arial"/>
          <w:sz w:val="16"/>
          <w:szCs w:val="16"/>
          <w:color w:val="auto"/>
        </w:rPr>
        <w:t>” means the average rate per annum as reported on the Reuters Screen CDOR Page (or any successor page or such other page or commercially available service displaying Canadian interbank bid rates for Canadian Dollar bankers’ acceptances as the Agent may designate from time to time, or if no such substitute service is available, the rate quoted by a Schedule I bank under the Bank Act (Canada) selected by the Agent at which such bank is offering to purchase Canadian Dollar bankers’ acceptances) as of 10:00 a.m. Eastern (Toronto) time on the date of commencement of the requested Interest Period, for a term, and in an amount, comparable to the Interest Period and the amount of the applicable Non-Base Rate Loan requested (whether as an initial Non-Base Rate Loan or as a continuation of a Non-Base Rate Loan or as a conversion of a Canadian Base Rate Loan to a Non-Base Rate Loan) by Canadian Borrowers in accordance with this Agreement (and, if any such reported rate is below zero, then the rate determined pursuant to this definition shall be deemed to be zero). Each determination of the CDOR Rate shall be made by the Agent and shall be conclusive in the absence of manifest error.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7" w:name="page28"/>
    <w:bookmarkEnd w:id="27"/>
    <w:p>
      <w:pPr>
        <w:ind w:right="4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(as that term is defined in the IRC) in which any Loan Party is a “United States shareholder” within the meaning of Section 951(b) of the IRC.</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that:</w:t>
      </w:r>
    </w:p>
    <w:p>
      <w:pPr>
        <w:spacing w:after="0" w:line="117" w:lineRule="exact"/>
        <w:rPr>
          <w:sz w:val="20"/>
          <w:szCs w:val="20"/>
          <w:color w:val="auto"/>
        </w:rPr>
      </w:pPr>
    </w:p>
    <w:p>
      <w:pPr>
        <w:ind w:right="300" w:firstLine="921"/>
        <w:spacing w:after="0" w:line="259" w:lineRule="auto"/>
        <w:tabs>
          <w:tab w:leader="none" w:pos="115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by any Person, or two or more Persons acting in concert, of beneficial ownership (within the meaning of Rule 13d-3 of the SEC under the Securities Exchange Act of 1934), directly or indirectly, of securities of Parent (or other securities convertible into such securities) representing 35% or more of the combined voting power of all outstanding securities of Parent entitled to vote in the election of directors, other than securities having such power only by reason of the happening of a contingency, or</w:t>
      </w:r>
    </w:p>
    <w:p>
      <w:pPr>
        <w:spacing w:after="0" w:line="78" w:lineRule="exact"/>
        <w:rPr>
          <w:rFonts w:ascii="Arial" w:cs="Arial" w:eastAsia="Arial" w:hAnsi="Arial"/>
          <w:sz w:val="18"/>
          <w:szCs w:val="18"/>
          <w:color w:val="auto"/>
        </w:rPr>
      </w:pPr>
    </w:p>
    <w:p>
      <w:pPr>
        <w:ind w:right="640" w:firstLine="921"/>
        <w:spacing w:after="0" w:line="277" w:lineRule="auto"/>
        <w:tabs>
          <w:tab w:leader="none" w:pos="116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otherwise expressly permitted under this Agreement with respect to Guarantors, Parent fails to own and control, directly or indirectly, 100% of the Equity Interests of each other Loan Party.</w:t>
      </w:r>
    </w:p>
    <w:p>
      <w:pPr>
        <w:spacing w:after="0" w:line="17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 the adoption or effectiveness of any law, rule, regulation, judicial ruling, decree, judgment or treaty, (b) any change in any law, rule, regulation, judicial ruling, decree,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making of the initial Revolving Loan (or other extension of credit) under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New York Uniform Commercial Code, as in effect from time to time.</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assets and interests in assets and proceeds thereof now owned or hereafter acquired by any Loan Party or its Subsidiaries in or upon which a Lien is granted by such Person in favor of Agent or the Lenders under any of the Loan Documents; provided that Collateral shall not include Excluded Collateral.</w:t>
      </w:r>
    </w:p>
    <w:p>
      <w:pPr>
        <w:spacing w:after="0" w:line="18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Access Agreement</w:t>
      </w:r>
      <w:r>
        <w:rPr>
          <w:rFonts w:ascii="Arial" w:cs="Arial" w:eastAsia="Arial" w:hAnsi="Arial"/>
          <w:sz w:val="17"/>
          <w:szCs w:val="17"/>
          <w:color w:val="auto"/>
        </w:rPr>
        <w:t>” means a landlord waiver, bailee letter, or acknowledgement agreement of any lessor, warehouseman, processor, consignee, customer or other Person in possession of, having a Lien upon, or having rights or interests in any Loan Party’s or its Subsidiaries’ books and records, Equipment, or Inventory, in each case, in form and substance reasonably satisfactory to Agent.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8" w:name="page29"/>
    <w:bookmarkEnd w:id="28"/>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means with respect to the UK Loan Parties, each deposit account maintained by such UK Loan Party into which all cash, checks or other similar payments relating to or constituting payments made in respect of Accounts will be deposited.</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means, all cash, checks, notes, instruments, and other items of payment (including insurance proceeds, cash proceeds of asset sales, rental proceeds and tax refunds).</w:t>
      </w:r>
    </w:p>
    <w:p>
      <w:pPr>
        <w:spacing w:after="0" w:line="170"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its Revolver Commitment and, with respect to all Lenders, their Revolver Commitments, in each case as such Dollar amounts are set forth beside such Lender’s name under the applicable heading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means the Commodity Exchange Act (7 U.S.C. § 1 et seq.), as amended from time to time, and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means those Persons who are direct competitors of the Borrowers if, at the time of a proposed assignment, Agent and the assigning Lender have actual knowledge (which knowledge can be obtained by a written notification by the Borrowers) that such Person is a direct competitor of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“Competitors” shall exclude any Person that Administrative Borrower has designated as no longer being a “Competitor” by written notice delivered to Agent from time to time;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connection with any assignment or participation, the Assignee or Participant with respect to such proposed assignment or participation that is an investment bank, a commercial bank, a finance company, a fund, or other Person which merely has an economic interest in any such direct competitor, and is not itself such a direct competitor of Borrowers, shall not be deemed to be a Competitor for the purposes of this definition.</w:t>
      </w:r>
    </w:p>
    <w:p>
      <w:pPr>
        <w:spacing w:after="0" w:line="18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to this Agreement delivered by the chief financial officer or treasurer of Parent to Agent.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3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 Agreement</w:t>
      </w:r>
      <w:r>
        <w:rPr>
          <w:rFonts w:ascii="Arial" w:cs="Arial" w:eastAsia="Arial" w:hAnsi="Arial"/>
          <w:sz w:val="17"/>
          <w:szCs w:val="17"/>
          <w:color w:val="auto"/>
        </w:rPr>
        <w:t>” means a control agreement, in form and substance reasonably satisfactory to Agent, executed and delivered by a Loan Party or one of its Subsidiaries, Agent, and the applicable securities intermediary (with respect to a Securities Account) or bank (with respect to a Deposit Account) and includes, without limitation, any Blocked Account Agreement and any Blocked Account Control Agreement.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Contribution Notice</w:t>
      </w:r>
      <w:r>
        <w:rPr>
          <w:rFonts w:ascii="Arial" w:cs="Arial" w:eastAsia="Arial" w:hAnsi="Arial"/>
          <w:sz w:val="16"/>
          <w:szCs w:val="16"/>
          <w:color w:val="auto"/>
        </w:rPr>
        <w:t>” means a contribution notice issued by the Pensions Regulator under section 38 or section 47 of the Pensions Act 2004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9" w:name="page30"/>
    <w:bookmarkEnd w:id="29"/>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Covenant Testing Period</w:t>
      </w:r>
      <w:r>
        <w:rPr>
          <w:rFonts w:ascii="Arial" w:cs="Arial" w:eastAsia="Arial" w:hAnsi="Arial"/>
          <w:sz w:val="16"/>
          <w:szCs w:val="16"/>
          <w:color w:val="auto"/>
        </w:rPr>
        <w:t xml:space="preserve">” means a period (a) commencing on the last day of the fiscal quarter of Parent most recently ended prior to a Covenant Trigger Event for which Borrowers are required to deliver to Agent quarterly or annual financial statements pursuant to </w:t>
      </w:r>
      <w:r>
        <w:rPr>
          <w:rFonts w:ascii="Arial" w:cs="Arial" w:eastAsia="Arial" w:hAnsi="Arial"/>
          <w:sz w:val="16"/>
          <w:szCs w:val="16"/>
          <w:u w:val="single" w:color="auto"/>
          <w:color w:val="auto"/>
        </w:rPr>
        <w:t>Schedule 5.1</w:t>
      </w:r>
      <w:r>
        <w:rPr>
          <w:rFonts w:ascii="Arial" w:cs="Arial" w:eastAsia="Arial" w:hAnsi="Arial"/>
          <w:sz w:val="16"/>
          <w:szCs w:val="16"/>
          <w:color w:val="auto"/>
        </w:rPr>
        <w:t xml:space="preserve"> to this Agreement, and</w:t>
      </w:r>
    </w:p>
    <w:p>
      <w:pPr>
        <w:ind w:right="16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through and including the first day after such Covenant Trigger Event that Aggregate Excess Availability has equaled or exceeded the greater of (i) 12.5% of the Line Cap, and (ii) $60,000,000 for 30 consecutive days.</w:t>
      </w:r>
    </w:p>
    <w:p>
      <w:pPr>
        <w:spacing w:after="0" w:line="184"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Trigger Event</w:t>
      </w:r>
      <w:r>
        <w:rPr>
          <w:rFonts w:ascii="Arial" w:cs="Arial" w:eastAsia="Arial" w:hAnsi="Arial"/>
          <w:sz w:val="18"/>
          <w:szCs w:val="18"/>
          <w:color w:val="auto"/>
        </w:rPr>
        <w:t>” means if at any time Aggregate Excess Availability is less than the greater of (i) 12.5% of the Line Cap, and (ii) $60,000,000.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CTA</w:t>
      </w:r>
      <w:r>
        <w:rPr>
          <w:rFonts w:ascii="Arial" w:cs="Arial" w:eastAsia="Arial" w:hAnsi="Arial"/>
          <w:sz w:val="18"/>
          <w:szCs w:val="18"/>
          <w:color w:val="auto"/>
        </w:rPr>
        <w:t>” means the Corporation Tax Act 2009 (UK).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 event, condition, or default that, with the giving of notice, the passage of time, or both, would be an Event of Default.</w:t>
      </w:r>
    </w:p>
    <w:p>
      <w:pPr>
        <w:spacing w:after="0" w:line="237" w:lineRule="exact"/>
        <w:rPr>
          <w:sz w:val="20"/>
          <w:szCs w:val="20"/>
          <w:color w:val="auto"/>
        </w:rPr>
      </w:pPr>
    </w:p>
    <w:p>
      <w:pPr>
        <w:ind w:right="140"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its Loans within two Business Days of the date such Loans were required to be funded hereunder unless such Lender notifies Agent and Administrative Borrower in writing that such failure is the result of such Lender’s determination that one or more conditions precedent to funding (each of which conditions precedent, together with any applicable Default or Event of Default, shall be specifically identified in such writing) has not been satisfied, or (ii) pay to Agent, any Issuing Lender, or any other Lender any other amount required to be paid by it hereunder (including in respect of its participation in Letters of Credit) within two Business Days of the date when due,</w:t>
      </w:r>
    </w:p>
    <w:p>
      <w:pPr>
        <w:spacing w:after="0" w:line="2" w:lineRule="exact"/>
        <w:rPr>
          <w:sz w:val="20"/>
          <w:szCs w:val="20"/>
          <w:color w:val="auto"/>
        </w:rPr>
      </w:pPr>
    </w:p>
    <w:p>
      <w:pPr>
        <w:ind w:firstLine="8"/>
        <w:spacing w:after="0" w:line="266"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has notified any Borrower, Agent an Issuing Lender in writing that it does not intend to satisfy any obligation referred to in clause (a) above or under agreements in which it commits to extend credit generally, or has made a public statement to the effect of either of the foregoing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(c) has failed, within three Business Days after written request by Agent or Administrative Borrower, to confirm in writing to Agent and Administrative Borrower that it will comply with its prospective funding obligations hereunder (provided, that such Lender shall cease to be a Defaulting Lender pursuant to this clause (c) upon receipt of such written confirmation by Agent and Administrative Borrower), or (d) has, or has a direct or indirect parent company that has, (i) become the subject of any Insolvency Proceeding,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upon delivery of written notice of such determination to Administrative Borrower, each Issuing Lender, and each Lender.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0" w:name="page31"/>
    <w:bookmarkEnd w:id="30"/>
    <w:p>
      <w:pPr>
        <w:ind w:right="2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Defaulting Lender Rate</w:t>
      </w:r>
      <w:r>
        <w:rPr>
          <w:rFonts w:ascii="Arial" w:cs="Arial" w:eastAsia="Arial" w:hAnsi="Arial"/>
          <w:sz w:val="18"/>
          <w:szCs w:val="18"/>
          <w:color w:val="auto"/>
        </w:rPr>
        <w:t>” means (a) with respect to US Obligations, (i) for the first three days from and after the date the relevant payment is due, the US Base Rate, and (ii) thereafter, the interest rate then applicable to US Revolving Loans that are Base Rate Loans (inclusive of the Base Rate Margin applicable thereto), (b) with respect to Canadian Obligations, (i) for the first three days from and after the date the relevant payment is due, the Canadian Base Rate (if such Canadian Obligations are denominated in Canadian Dollars) or the US Base Rate (if such Canadian Obligations are denominated in Dollars), and (ii) thereafter, the interest rate then applicable to Canadian Revolving Loans that are Base Rate Loans (inclusive of the Base Rate Margin applicable thereto) and (c) with respect to UK Obligations, (i) for the first 3 days from and after the date the relevant payment is due, the UK Floating Rate (in the Applicable Currency), and (ii) thereafter, the interest rate then applicable to UK Revolving Loans that are Base Rate Loans (inclusive of the Base Rate Margin applicable thereto).</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any deposit account (as that term is defined in the Code).</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Interests</w:t>
      </w:r>
      <w:r>
        <w:rPr>
          <w:rFonts w:ascii="Arial" w:cs="Arial" w:eastAsia="Arial" w:hAnsi="Arial"/>
          <w:sz w:val="17"/>
          <w:szCs w:val="17"/>
          <w:color w:val="auto"/>
        </w:rPr>
        <w:t xml:space="preserve">” means any Equity Interests that, by their terms (or by the terms of any security or other Equity Interests into which they are convertible or for which they are exchangeable),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in whole or in part, (c) provide for the scheduled payments of dividends in cash (other than Pass-Through Tax Liabilities), or (d) are or become convertible into or exchangeable for Indebtedness or any other Equity Interests that would constitute Disqualified Equity Interests, in each case, prior to the date that is 180 days after the Maturity Date unless in the case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the right to receive the applicable consideration is contingent upon the Obligations having been paid in full.</w:t>
      </w:r>
    </w:p>
    <w:p>
      <w:pPr>
        <w:spacing w:after="0" w:line="182"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Disregarded Domestic Person</w:t>
      </w:r>
      <w:r>
        <w:rPr>
          <w:rFonts w:ascii="Arial" w:cs="Arial" w:eastAsia="Arial" w:hAnsi="Arial"/>
          <w:sz w:val="18"/>
          <w:szCs w:val="18"/>
          <w:color w:val="auto"/>
        </w:rPr>
        <w:t>” means any direct or indirect Domestic Subsidiary that is treated as a disregarded entity for U.S. federal income tax purposes, if it holds no material assets other than the equity of one or more direct or indirect Foreign Subsidiaries that are CFCs or other Disregarded Domestic Persons.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at any time, (a) with respect to any amount denominated in Dollars, such amount, and (b) with respect to any amount denominated in another currency, the equivalent amount thereof in Dollars as determined by Agent, at such time on the basis of the Spot Rate (determined in respect of the most recent Revaluation Date or such other date determined by Agent) for the purchase of Dollars with such currency.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1" w:name="page32"/>
    <w:bookmarkEnd w:id="3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Cash Equivalents</w:t>
      </w:r>
      <w:r>
        <w:rPr>
          <w:rFonts w:ascii="Arial" w:cs="Arial" w:eastAsia="Arial" w:hAnsi="Arial"/>
          <w:sz w:val="16"/>
          <w:szCs w:val="16"/>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w:t>
      </w:r>
    </w:p>
    <w:p>
      <w:pPr>
        <w:ind w:right="260" w:firstLine="8"/>
        <w:spacing w:after="0" w:line="28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Standard &amp; Poor’s Rating Group (“</w:t>
      </w:r>
      <w:r>
        <w:rPr>
          <w:rFonts w:ascii="Arial" w:cs="Arial" w:eastAsia="Arial" w:hAnsi="Arial"/>
          <w:sz w:val="16"/>
          <w:szCs w:val="16"/>
          <w:u w:val="single" w:color="auto"/>
          <w:color w:val="auto"/>
        </w:rPr>
        <w:t>S&amp;P</w:t>
      </w:r>
      <w:r>
        <w:rPr>
          <w:rFonts w:ascii="Arial" w:cs="Arial" w:eastAsia="Arial" w:hAnsi="Arial"/>
          <w:sz w:val="16"/>
          <w:szCs w:val="16"/>
          <w:color w:val="auto"/>
        </w:rPr>
        <w:t>”) or Moody’s Investors Service, Inc. (“</w:t>
      </w:r>
      <w:r>
        <w:rPr>
          <w:rFonts w:ascii="Arial" w:cs="Arial" w:eastAsia="Arial" w:hAnsi="Arial"/>
          <w:sz w:val="16"/>
          <w:szCs w:val="16"/>
          <w:u w:val="single" w:color="auto"/>
          <w:color w:val="auto"/>
        </w:rPr>
        <w:t>Moody’s</w:t>
      </w:r>
      <w:r>
        <w:rPr>
          <w:rFonts w:ascii="Arial" w:cs="Arial" w:eastAsia="Arial" w:hAnsi="Arial"/>
          <w:sz w:val="16"/>
          <w:szCs w:val="16"/>
          <w:color w:val="auto"/>
        </w:rPr>
        <w:t>”), (c) commercial paper maturing no more than 270 days from the date of creation thereof and, at the time of acquisition, having a rating of at least A-1 from S&amp;P or at least P-1 from Moody’s,</w:t>
      </w:r>
    </w:p>
    <w:p>
      <w:pPr>
        <w:spacing w:after="0" w:line="2" w:lineRule="exact"/>
        <w:rPr>
          <w:rFonts w:ascii="Arial" w:cs="Arial" w:eastAsia="Arial" w:hAnsi="Arial"/>
          <w:sz w:val="16"/>
          <w:szCs w:val="16"/>
          <w:color w:val="auto"/>
        </w:rPr>
      </w:pPr>
    </w:p>
    <w:p>
      <w:pPr>
        <w:ind w:right="20" w:firstLine="8"/>
        <w:spacing w:after="0" w:line="268"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 (e)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recognized securities dealer having combined capital and surplus of not less than $1,000,000,000, having a term of not more than seven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any Loan Party that is not a Foreign Subsidiary.</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Document</w:t>
      </w:r>
      <w:r>
        <w:rPr>
          <w:rFonts w:ascii="Arial" w:cs="Arial" w:eastAsia="Arial" w:hAnsi="Arial"/>
          <w:sz w:val="18"/>
          <w:szCs w:val="18"/>
          <w:color w:val="auto"/>
        </w:rPr>
        <w:t>” means any Letter of Credit or other document presented for purposes of drawing under any Letter of Credit, including by electronic transmission such as SWIFT, electronic mail, facsimile or computer generated communication.</w:t>
      </w:r>
    </w:p>
    <w:p>
      <w:pPr>
        <w:spacing w:after="0" w:line="170"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Earn-Outs</w:t>
      </w:r>
      <w:r>
        <w:rPr>
          <w:rFonts w:ascii="Arial" w:cs="Arial" w:eastAsia="Arial" w:hAnsi="Arial"/>
          <w:sz w:val="16"/>
          <w:szCs w:val="16"/>
          <w:color w:val="auto"/>
        </w:rPr>
        <w:t>” means unsecured liabilities of a Loan Party arising under an agreement to make any deferred payment as a part of the purchase price for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means, with respect to any fiscal period and with respect to Parent determined, in each case, on a consolidated basis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GAAP: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2" w:name="page33"/>
    <w:bookmarkEnd w:id="32"/>
    <w:p>
      <w:pPr>
        <w:ind w:left="1940" w:right="7500" w:hanging="1019"/>
        <w:spacing w:after="0" w:line="375" w:lineRule="auto"/>
        <w:tabs>
          <w:tab w:leader="none" w:pos="1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consolidated net income (or loss), </w:t>
      </w:r>
      <w:r>
        <w:rPr>
          <w:rFonts w:ascii="Arial" w:cs="Arial" w:eastAsia="Arial" w:hAnsi="Arial"/>
          <w:sz w:val="18"/>
          <w:szCs w:val="18"/>
          <w:i w:val="1"/>
          <w:iCs w:val="1"/>
          <w:u w:val="single" w:color="auto"/>
          <w:color w:val="auto"/>
        </w:rPr>
        <w:t>minus</w:t>
      </w:r>
    </w:p>
    <w:p>
      <w:pPr>
        <w:spacing w:after="0" w:line="1" w:lineRule="exact"/>
        <w:rPr>
          <w:rFonts w:ascii="Arial" w:cs="Arial" w:eastAsia="Arial" w:hAnsi="Arial"/>
          <w:sz w:val="18"/>
          <w:szCs w:val="18"/>
          <w:color w:val="auto"/>
        </w:rPr>
      </w:pPr>
    </w:p>
    <w:p>
      <w:pPr>
        <w:ind w:left="1180" w:hanging="259"/>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without duplication, the sum of the following amounts for such period to the extent included in determining consolidated net income (or loss)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such period:</w:t>
      </w:r>
    </w:p>
    <w:p>
      <w:pPr>
        <w:spacing w:after="0" w:line="102" w:lineRule="exact"/>
        <w:rPr>
          <w:rFonts w:ascii="Arial" w:cs="Arial" w:eastAsia="Arial" w:hAnsi="Arial"/>
          <w:sz w:val="16"/>
          <w:szCs w:val="16"/>
          <w:color w:val="auto"/>
        </w:rPr>
      </w:pPr>
    </w:p>
    <w:p>
      <w:pPr>
        <w:ind w:right="340" w:firstLine="1492"/>
        <w:spacing w:after="0" w:line="264" w:lineRule="auto"/>
        <w:tabs>
          <w:tab w:leader="none" w:pos="16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any extraordinary, unusual, or non-recurring non-cash gains;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such non-cash gains referred to in this clause represent an accrual or reserve for potential cash items in any future period, the cash payment in respect thereof in such future period shall be included in EBITDA to such extent,</w:t>
      </w:r>
    </w:p>
    <w:p>
      <w:pPr>
        <w:spacing w:after="0" w:line="73" w:lineRule="exact"/>
        <w:rPr>
          <w:rFonts w:ascii="Arial" w:cs="Arial" w:eastAsia="Arial" w:hAnsi="Arial"/>
          <w:sz w:val="18"/>
          <w:szCs w:val="18"/>
          <w:color w:val="auto"/>
        </w:rPr>
      </w:pPr>
    </w:p>
    <w:p>
      <w:pPr>
        <w:ind w:left="1760" w:hanging="268"/>
        <w:spacing w:after="0"/>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117" w:lineRule="exact"/>
        <w:rPr>
          <w:rFonts w:ascii="Arial" w:cs="Arial" w:eastAsia="Arial" w:hAnsi="Arial"/>
          <w:sz w:val="18"/>
          <w:szCs w:val="18"/>
          <w:color w:val="auto"/>
        </w:rPr>
      </w:pPr>
    </w:p>
    <w:p>
      <w:pPr>
        <w:ind w:right="160" w:firstLine="1492"/>
        <w:spacing w:after="0" w:line="308" w:lineRule="auto"/>
        <w:tabs>
          <w:tab w:leader="none" w:pos="1798"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amount of any non-controlling interest income consisting of losses attributed to non-controlling interests of third parties in any non-wholly owned Subsidiaries of Parent to the extent included in consolidated net income (or loss) and not received in cash by Parent,</w:t>
      </w:r>
    </w:p>
    <w:p>
      <w:pPr>
        <w:spacing w:after="0" w:line="38" w:lineRule="exact"/>
        <w:rPr>
          <w:rFonts w:ascii="Arial" w:cs="Arial" w:eastAsia="Arial" w:hAnsi="Arial"/>
          <w:sz w:val="17"/>
          <w:szCs w:val="17"/>
          <w:color w:val="auto"/>
        </w:rPr>
      </w:pPr>
    </w:p>
    <w:p>
      <w:pPr>
        <w:ind w:right="580" w:firstLine="1492"/>
        <w:spacing w:after="0" w:line="264" w:lineRule="auto"/>
        <w:tabs>
          <w:tab w:leader="none" w:pos="17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unrealized or realized non-cash gains in respect of obligations under hedging transactions, and non-cash gains resulting from currency translation or non-cash transaction gains related to currency re-measurements of Indebtedness, and all other foreign currency translation or transaction non-cash gains,</w:t>
      </w:r>
    </w:p>
    <w:p>
      <w:pPr>
        <w:spacing w:after="0" w:line="73" w:lineRule="exact"/>
        <w:rPr>
          <w:rFonts w:ascii="Arial" w:cs="Arial" w:eastAsia="Arial" w:hAnsi="Arial"/>
          <w:sz w:val="18"/>
          <w:szCs w:val="18"/>
          <w:color w:val="auto"/>
        </w:rPr>
      </w:pPr>
    </w:p>
    <w:p>
      <w:pPr>
        <w:ind w:right="160" w:firstLine="1492"/>
        <w:spacing w:after="0" w:line="259" w:lineRule="auto"/>
        <w:tabs>
          <w:tab w:leader="none" w:pos="173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expenses or charges arising from the sale or issuance of Equity Interests, the granting of stock options, and the granting of stock appreciation rights and similar arrangements (including any repricing, amendment, modification, substitution, or change of any such Equity Interests, stock option, stock appreciation rights, or similar arrangements) but only to the extent that such expenses or charges are funded with cash proceeds contributed to the capital of Parent or an issuance of capital stock of Parent,</w:t>
      </w:r>
    </w:p>
    <w:p>
      <w:pPr>
        <w:spacing w:after="0" w:line="78" w:lineRule="exact"/>
        <w:rPr>
          <w:rFonts w:ascii="Arial" w:cs="Arial" w:eastAsia="Arial" w:hAnsi="Arial"/>
          <w:sz w:val="18"/>
          <w:szCs w:val="18"/>
          <w:color w:val="auto"/>
        </w:rPr>
      </w:pPr>
    </w:p>
    <w:p>
      <w:pPr>
        <w:ind w:left="1800" w:hanging="308"/>
        <w:spacing w:after="0"/>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federal, state, provincial and local income tax credits,</w:t>
      </w:r>
    </w:p>
    <w:p>
      <w:pPr>
        <w:spacing w:after="0" w:line="117" w:lineRule="exact"/>
        <w:rPr>
          <w:rFonts w:ascii="Arial" w:cs="Arial" w:eastAsia="Arial" w:hAnsi="Arial"/>
          <w:sz w:val="18"/>
          <w:szCs w:val="18"/>
          <w:color w:val="auto"/>
        </w:rPr>
      </w:pPr>
    </w:p>
    <w:p>
      <w:pPr>
        <w:ind w:left="1840" w:hanging="348"/>
        <w:spacing w:after="0"/>
        <w:tabs>
          <w:tab w:leader="none" w:pos="1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non-cash gains on sales of fixed assets or discontinued or disposed of operations, and</w:t>
      </w:r>
    </w:p>
    <w:p>
      <w:pPr>
        <w:spacing w:after="0" w:line="117" w:lineRule="exact"/>
        <w:rPr>
          <w:rFonts w:ascii="Arial" w:cs="Arial" w:eastAsia="Arial" w:hAnsi="Arial"/>
          <w:sz w:val="18"/>
          <w:szCs w:val="18"/>
          <w:color w:val="auto"/>
        </w:rPr>
      </w:pPr>
    </w:p>
    <w:p>
      <w:pPr>
        <w:ind w:left="1900" w:hanging="408"/>
        <w:spacing w:after="0"/>
        <w:tabs>
          <w:tab w:leader="none" w:pos="1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income arising by reason of the application of FAS 141R,</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non-operating income, and</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income tax benefits and decreases in any change in LIFO reserves,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i w:val="1"/>
          <w:iCs w:val="1"/>
          <w:u w:val="single" w:color="auto"/>
          <w:color w:val="auto"/>
        </w:rPr>
        <w:t>plus</w:t>
      </w:r>
    </w:p>
    <w:p>
      <w:pPr>
        <w:spacing w:after="0" w:line="117" w:lineRule="exact"/>
        <w:rPr>
          <w:sz w:val="20"/>
          <w:szCs w:val="20"/>
          <w:color w:val="auto"/>
        </w:rPr>
      </w:pPr>
    </w:p>
    <w:p>
      <w:pPr>
        <w:ind w:left="1160" w:hanging="239"/>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without duplication, the sum of the following amounts for such period to the extent included in determining consolidated net income (or loss)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such period: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33" w:name="page34"/>
    <w:bookmarkEnd w:id="33"/>
    <w:p>
      <w:pPr>
        <w:ind w:right="160" w:firstLine="1492"/>
        <w:spacing w:after="0" w:line="264" w:lineRule="auto"/>
        <w:tabs>
          <w:tab w:leader="none" w:pos="1698"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extraordinary, unusual, or non-recurring non-cash losses;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such non-cash losses referred to in this clause represent an accrual or reserve for potential cash items in any future period, the cash payment in respect thereof in such future period shall be deducted from EBITDA to such extent,</w:t>
      </w:r>
    </w:p>
    <w:p>
      <w:pPr>
        <w:spacing w:after="0" w:line="73" w:lineRule="exact"/>
        <w:rPr>
          <w:rFonts w:ascii="Arial" w:cs="Arial" w:eastAsia="Arial" w:hAnsi="Arial"/>
          <w:sz w:val="18"/>
          <w:szCs w:val="18"/>
          <w:color w:val="auto"/>
        </w:rPr>
      </w:pPr>
    </w:p>
    <w:p>
      <w:pPr>
        <w:ind w:left="1760" w:hanging="268"/>
        <w:spacing w:after="0"/>
        <w:tabs>
          <w:tab w:leader="none" w:pos="1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117" w:lineRule="exact"/>
        <w:rPr>
          <w:rFonts w:ascii="Arial" w:cs="Arial" w:eastAsia="Arial" w:hAnsi="Arial"/>
          <w:sz w:val="18"/>
          <w:szCs w:val="18"/>
          <w:color w:val="auto"/>
        </w:rPr>
      </w:pPr>
    </w:p>
    <w:p>
      <w:pPr>
        <w:ind w:right="220" w:firstLine="1492"/>
        <w:spacing w:after="0" w:line="277" w:lineRule="auto"/>
        <w:tabs>
          <w:tab w:leader="none" w:pos="17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expense based on income, profits or capital, including federal, foreign, state, provincial franchise and similar taxes (and for the avoidance of doubt, specifically excluding any sales taxes or any other taxes held in trust for a Governmental Authority),</w:t>
      </w:r>
    </w:p>
    <w:p>
      <w:pPr>
        <w:spacing w:after="0" w:line="62" w:lineRule="exact"/>
        <w:rPr>
          <w:rFonts w:ascii="Arial" w:cs="Arial" w:eastAsia="Arial" w:hAnsi="Arial"/>
          <w:sz w:val="18"/>
          <w:szCs w:val="18"/>
          <w:color w:val="auto"/>
        </w:rPr>
      </w:pPr>
    </w:p>
    <w:p>
      <w:pPr>
        <w:ind w:right="180" w:firstLine="1492"/>
        <w:spacing w:after="0" w:line="264"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amortization for such period (including (x) accelerated depreciation and amortization from the write-off or write-down of tangible or intangible assets (other than the write-off or write-down of current assets) and (y) amortization of deferred financing fees, debt issuance costs, commissions, fees and expenses, bridge, commitment and other financing fees, discounts and yield),</w:t>
      </w:r>
    </w:p>
    <w:p>
      <w:pPr>
        <w:spacing w:after="0" w:line="73" w:lineRule="exact"/>
        <w:rPr>
          <w:rFonts w:ascii="Arial" w:cs="Arial" w:eastAsia="Arial" w:hAnsi="Arial"/>
          <w:sz w:val="18"/>
          <w:szCs w:val="18"/>
          <w:color w:val="auto"/>
        </w:rPr>
      </w:pPr>
    </w:p>
    <w:p>
      <w:pPr>
        <w:ind w:right="560" w:firstLine="1492"/>
        <w:spacing w:after="0" w:line="264" w:lineRule="auto"/>
        <w:tabs>
          <w:tab w:leader="none" w:pos="17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any Permitted Acquisition after the Closing Date, costs, fees, charges, or expenses consisting of out-of-pocket expenses owed by the Loan Parties or any of their Subsidiaries to any Person for services performed by such Person in connection with such Permitted Acquisition incurred within 365 days of the consummation of such Permitted Acquisition,</w:t>
      </w:r>
    </w:p>
    <w:p>
      <w:pPr>
        <w:spacing w:after="0" w:line="73" w:lineRule="exact"/>
        <w:rPr>
          <w:rFonts w:ascii="Arial" w:cs="Arial" w:eastAsia="Arial" w:hAnsi="Arial"/>
          <w:sz w:val="18"/>
          <w:szCs w:val="18"/>
          <w:color w:val="auto"/>
        </w:rPr>
      </w:pPr>
    </w:p>
    <w:p>
      <w:pPr>
        <w:ind w:firstLine="1492"/>
        <w:spacing w:after="0" w:line="255"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any Permitted Acquisitions after the Closing Date: (1) purchase accounting adjustments, including, without limitation, a dollar for dollar adjustment for that portion of revenue that would have been recorded in the relevant period had the balance of deferred revenue (unearned income) recorded on the closing balance sheet and before application of purchase accounting not been adjusted downward to fair value to be recorded on the opening balance sheet in accordance with GAAP purchase accounting rules; and (2) non-cash adjustments in accordance with GAAP purchase accounting rules under FASB Statement No. 141, ASC 805 or EITF Issue No. 01-3, in the event that such an adjustment is required by Parent’s independent auditors, in each case, as determined in accordance with GAAP,</w:t>
      </w:r>
    </w:p>
    <w:p>
      <w:pPr>
        <w:spacing w:after="0" w:line="85" w:lineRule="exact"/>
        <w:rPr>
          <w:rFonts w:ascii="Arial" w:cs="Arial" w:eastAsia="Arial" w:hAnsi="Arial"/>
          <w:sz w:val="18"/>
          <w:szCs w:val="18"/>
          <w:color w:val="auto"/>
        </w:rPr>
      </w:pPr>
    </w:p>
    <w:p>
      <w:pPr>
        <w:ind w:right="540" w:firstLine="1492"/>
        <w:spacing w:after="0" w:line="264" w:lineRule="auto"/>
        <w:tabs>
          <w:tab w:leader="none" w:pos="18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costs, charges and expenses, in respect of Earn-Outs incurred in connection with any Permitted Acquisition to the extent permitted to be incurred under this Agreement that are required by the application of FAS 141R to be and are expensed by the Loan Parties and their Subsidiaries,</w:t>
      </w:r>
    </w:p>
    <w:p>
      <w:pPr>
        <w:spacing w:after="0" w:line="73" w:lineRule="exact"/>
        <w:rPr>
          <w:rFonts w:ascii="Arial" w:cs="Arial" w:eastAsia="Arial" w:hAnsi="Arial"/>
          <w:sz w:val="18"/>
          <w:szCs w:val="18"/>
          <w:color w:val="auto"/>
        </w:rPr>
      </w:pPr>
    </w:p>
    <w:p>
      <w:pPr>
        <w:jc w:val="both"/>
        <w:ind w:right="340" w:firstLine="1492"/>
        <w:spacing w:after="0" w:line="302" w:lineRule="auto"/>
        <w:tabs>
          <w:tab w:leader="none" w:pos="18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non-cash compensation expense (including deferred non-cash compensation expense), or other non-cash expenses or charges, arising from the sale or issuance of Equity Interests, the granting of stock options, and the granting of stock appreciation rights and similar arrangements (including any repricing, amendment, modification, substitution, or change of any such Equity Interests, stock option, stock appreciation rights, or similar arrangements)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the amount of any such expenses or charges when paid in cash to the extent not deducted in the computation of net income (or loss),</w:t>
      </w:r>
    </w:p>
    <w:p>
      <w:pPr>
        <w:spacing w:after="0" w:line="46" w:lineRule="exact"/>
        <w:rPr>
          <w:rFonts w:ascii="Arial" w:cs="Arial" w:eastAsia="Arial" w:hAnsi="Arial"/>
          <w:sz w:val="16"/>
          <w:szCs w:val="16"/>
          <w:color w:val="auto"/>
        </w:rPr>
      </w:pPr>
    </w:p>
    <w:p>
      <w:pPr>
        <w:ind w:left="1800" w:hanging="308"/>
        <w:spacing w:after="0"/>
        <w:tabs>
          <w:tab w:leader="none" w:pos="1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non-recurring expenses for severance, recruitment and hiring of senior management or other officers (including signing bonuses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connection therewith),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4" w:name="page35"/>
    <w:bookmarkEnd w:id="34"/>
    <w:p>
      <w:pPr>
        <w:ind w:right="60" w:firstLine="1492"/>
        <w:spacing w:after="0" w:line="277" w:lineRule="auto"/>
        <w:tabs>
          <w:tab w:leader="none" w:pos="1738"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non-recurring cash charges incurred during such period in respect of restructurings, retention, business process optimizations, project start-up costs, and headcount reductions,</w:t>
      </w:r>
    </w:p>
    <w:p>
      <w:pPr>
        <w:spacing w:after="0" w:line="62" w:lineRule="exact"/>
        <w:rPr>
          <w:rFonts w:ascii="Arial" w:cs="Arial" w:eastAsia="Arial" w:hAnsi="Arial"/>
          <w:sz w:val="18"/>
          <w:szCs w:val="18"/>
          <w:color w:val="auto"/>
        </w:rPr>
      </w:pPr>
    </w:p>
    <w:p>
      <w:pPr>
        <w:ind w:right="160" w:firstLine="1492"/>
        <w:spacing w:after="0" w:line="277" w:lineRule="auto"/>
        <w:tabs>
          <w:tab w:leader="none" w:pos="17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any non-controlling interest expense consisting of losses attributed to non-controlling interests of third parties in any non-wholly owned Subsidiaries of Parent,</w:t>
      </w:r>
    </w:p>
    <w:p>
      <w:pPr>
        <w:spacing w:after="0" w:line="62" w:lineRule="exact"/>
        <w:rPr>
          <w:rFonts w:ascii="Arial" w:cs="Arial" w:eastAsia="Arial" w:hAnsi="Arial"/>
          <w:sz w:val="18"/>
          <w:szCs w:val="18"/>
          <w:color w:val="auto"/>
        </w:rPr>
      </w:pPr>
    </w:p>
    <w:p>
      <w:pPr>
        <w:ind w:right="140" w:firstLine="1492"/>
        <w:spacing w:after="0" w:line="286" w:lineRule="auto"/>
        <w:tabs>
          <w:tab w:leader="none" w:pos="1838"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expenses, charges and fees (including expenses, charges and fees paid to Agent and Lenders) incurred during such period and after the Closing Date in connection with the administration (including in connection with any waiver, amendment, restatement, supplementation or other modification thereto of the Loan Documents) of the Loan Documents, and all rating agency costs and expenses related thereto,</w:t>
      </w:r>
    </w:p>
    <w:p>
      <w:pPr>
        <w:spacing w:after="0" w:line="57" w:lineRule="exact"/>
        <w:rPr>
          <w:rFonts w:ascii="Arial" w:cs="Arial" w:eastAsia="Arial" w:hAnsi="Arial"/>
          <w:sz w:val="17"/>
          <w:szCs w:val="17"/>
          <w:color w:val="auto"/>
        </w:rPr>
      </w:pPr>
    </w:p>
    <w:p>
      <w:pPr>
        <w:ind w:firstLine="1492"/>
        <w:spacing w:after="0" w:line="279" w:lineRule="auto"/>
        <w:tabs>
          <w:tab w:leader="none" w:pos="18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documented fees and expenses incurred during such period in connection with any issuance of Equity Interests permitted hereunder, any issuance or incurrence of any Indebtedness permitted to be incurred hereunder, any Permitted Investment (other than Permitted Acquisitions, Permitted Intercompany Advances and other Permitted Investments made in the ordinary course of business) or any Permitted Disposition, including any financing fees, merger and acquisition fees (in each case, whether or not such transaction is consummated),</w:t>
      </w:r>
    </w:p>
    <w:p>
      <w:pPr>
        <w:spacing w:after="0" w:line="63" w:lineRule="exact"/>
        <w:rPr>
          <w:rFonts w:ascii="Arial" w:cs="Arial" w:eastAsia="Arial" w:hAnsi="Arial"/>
          <w:sz w:val="17"/>
          <w:szCs w:val="17"/>
          <w:color w:val="auto"/>
        </w:rPr>
      </w:pPr>
    </w:p>
    <w:p>
      <w:pPr>
        <w:ind w:right="200" w:firstLine="1492"/>
        <w:spacing w:after="0" w:line="286" w:lineRule="auto"/>
        <w:tabs>
          <w:tab w:leader="none" w:pos="1878"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costs and expenses incurred (A) to the extent covered by indemnification or reimbursement provisions in any agreement with a Person in connection with any Permitted Acquisition, or (B) to the extent indemnified or reimbursed by a Person that is not an Affiliate of the Loan Parties, and in each case, solely to the extent such indemnification or reimbursement did not increase consolidated net income for such period,</w:t>
      </w:r>
    </w:p>
    <w:p>
      <w:pPr>
        <w:spacing w:after="0" w:line="57" w:lineRule="exact"/>
        <w:rPr>
          <w:rFonts w:ascii="Arial" w:cs="Arial" w:eastAsia="Arial" w:hAnsi="Arial"/>
          <w:sz w:val="17"/>
          <w:szCs w:val="17"/>
          <w:color w:val="auto"/>
        </w:rPr>
      </w:pPr>
    </w:p>
    <w:p>
      <w:pPr>
        <w:ind w:left="1840" w:hanging="348"/>
        <w:spacing w:after="0"/>
        <w:tabs>
          <w:tab w:leader="none" w:pos="1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non-cash losses in respect of obligations under hedging transactions, and non-cash losses resulting from currency translation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non-cash transaction losses related to currency re-measurements of Indebtedness, and all other non-cash foreign currency translation or transaction losses,</w:t>
      </w:r>
    </w:p>
    <w:p>
      <w:pPr>
        <w:spacing w:after="0" w:line="126" w:lineRule="exact"/>
        <w:rPr>
          <w:sz w:val="20"/>
          <w:szCs w:val="20"/>
          <w:color w:val="auto"/>
        </w:rPr>
      </w:pPr>
    </w:p>
    <w:p>
      <w:pPr>
        <w:ind w:right="420" w:firstLine="1492"/>
        <w:spacing w:after="0" w:line="312" w:lineRule="auto"/>
        <w:tabs>
          <w:tab w:leader="none" w:pos="1878"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non-cash losses on sales of fixed assets or discontinued or disposed of operations or write-downs of fixed or intangible assets (excluding write-downs of Accounts or Inventory) (provided, that to the extent any non-cash item added back to EBITDA in any period results in a cash payment in such period or a subsequent period such cash payment shall result in a reduction of EBITDA in the period when such payment is made),</w:t>
      </w:r>
    </w:p>
    <w:p>
      <w:pPr>
        <w:spacing w:after="0" w:line="38" w:lineRule="exact"/>
        <w:rPr>
          <w:rFonts w:ascii="Arial" w:cs="Arial" w:eastAsia="Arial" w:hAnsi="Arial"/>
          <w:sz w:val="16"/>
          <w:szCs w:val="16"/>
          <w:color w:val="auto"/>
        </w:rPr>
      </w:pPr>
    </w:p>
    <w:p>
      <w:pPr>
        <w:ind w:left="1940" w:hanging="448"/>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any change in LIFO reserves,</w:t>
      </w:r>
    </w:p>
    <w:p>
      <w:pPr>
        <w:spacing w:after="0" w:line="117" w:lineRule="exact"/>
        <w:rPr>
          <w:rFonts w:ascii="Arial" w:cs="Arial" w:eastAsia="Arial" w:hAnsi="Arial"/>
          <w:sz w:val="18"/>
          <w:szCs w:val="18"/>
          <w:color w:val="auto"/>
        </w:rPr>
      </w:pPr>
    </w:p>
    <w:p>
      <w:pPr>
        <w:jc w:val="both"/>
        <w:ind w:right="20" w:firstLine="1492"/>
        <w:spacing w:after="0" w:line="257" w:lineRule="auto"/>
        <w:tabs>
          <w:tab w:leader="none" w:pos="19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non-cash expenses, losses, or charges with respect to non-compete agreements and other similar agreements, write-offs of deferred financing costs and debt issuance costs, unrealized losses on foreign currency translation, non-cash charges in respect of capitalized research and development and organizational costs, non-cash losses from permitted joint ventures and non-cash losses on any extinguishment of debt (provided, that to the extent any non-cash item added back to EBITDA in any period results in a cash payment in such period or a subsequent period such cash payment shall result in a reduction of EBITDA in the period when such payment is made),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5" w:name="page36"/>
    <w:bookmarkEnd w:id="35"/>
    <w:p>
      <w:pPr>
        <w:ind w:firstLine="1492"/>
        <w:spacing w:after="0" w:line="288" w:lineRule="auto"/>
        <w:tabs>
          <w:tab w:leader="none" w:pos="1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cost-savings, operating expense reductions, restructuring charges and expenses and cost-saving synergies (collectively, “</w:t>
      </w:r>
      <w:r>
        <w:rPr>
          <w:rFonts w:ascii="Arial" w:cs="Arial" w:eastAsia="Arial" w:hAnsi="Arial"/>
          <w:sz w:val="16"/>
          <w:szCs w:val="16"/>
          <w:u w:val="single" w:color="auto"/>
          <w:color w:val="auto"/>
        </w:rPr>
        <w:t>Cost</w:t>
      </w:r>
      <w:r>
        <w:rPr>
          <w:rFonts w:ascii="Arial" w:cs="Arial" w:eastAsia="Arial" w:hAnsi="Arial"/>
          <w:sz w:val="16"/>
          <w:szCs w:val="16"/>
          <w:color w:val="auto"/>
        </w:rPr>
        <w:t xml:space="preserve"> </w:t>
      </w:r>
      <w:r>
        <w:rPr>
          <w:rFonts w:ascii="Arial" w:cs="Arial" w:eastAsia="Arial" w:hAnsi="Arial"/>
          <w:sz w:val="16"/>
          <w:szCs w:val="16"/>
          <w:u w:val="single" w:color="auto"/>
          <w:color w:val="auto"/>
        </w:rPr>
        <w:t>Savings</w:t>
      </w:r>
      <w:r>
        <w:rPr>
          <w:rFonts w:ascii="Arial" w:cs="Arial" w:eastAsia="Arial" w:hAnsi="Arial"/>
          <w:sz w:val="16"/>
          <w:szCs w:val="16"/>
          <w:color w:val="auto"/>
        </w:rPr>
        <w:t xml:space="preserve">”) projected by Borrowers in good faith to be realized as a result of any merger, acquisition, joint venture, material disposition taken or to be taken by the Borrowers or any of their Subsidiaries and permitted hereunder during such period (calculated on a pro forma basis as though such Cost-Savings had been realized on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Cost-Savings are reasonably identifiable, reasonably attributable to the actions specified and reasonably anticipated to result from such actions, (B) such Cost-Savings are commenced within 12 months of such actions and the benefits resulting from such actions are reasonably anticipated by the Borrowers to be realized within twelve (12) months of the date of consummation of such merger, acquisition, joint venture or material disposition, (C) no Cost-Savings may be added pursuant to this clause (xxii) to the extent duplicative of any expenses or charges relating thereto that are either excluded in computing consolidated net income (or loss) or included (i.e., added back) in computing EBITDA for such period, and (D) the amount of any such Cost-Savings would be permitted to be included in financial statements prepared in accordance with Regulation S-X under the Securities Act during such period, and</w:t>
      </w:r>
    </w:p>
    <w:p>
      <w:pPr>
        <w:spacing w:after="0" w:line="61" w:lineRule="exact"/>
        <w:rPr>
          <w:rFonts w:ascii="Arial" w:cs="Arial" w:eastAsia="Arial" w:hAnsi="Arial"/>
          <w:sz w:val="16"/>
          <w:szCs w:val="16"/>
          <w:color w:val="auto"/>
        </w:rPr>
      </w:pPr>
    </w:p>
    <w:p>
      <w:pPr>
        <w:ind w:left="1840" w:hanging="348"/>
        <w:spacing w:after="0"/>
        <w:tabs>
          <w:tab w:leader="none" w:pos="18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proceeds of business interruption insurance received by a Loan Party (to the extent such proceeds of business interruption insurance</w:t>
      </w:r>
    </w:p>
    <w:p>
      <w:pPr>
        <w:spacing w:after="0" w:line="46" w:lineRule="exact"/>
        <w:rPr>
          <w:rFonts w:ascii="Arial" w:cs="Arial" w:eastAsia="Arial" w:hAnsi="Arial"/>
          <w:sz w:val="16"/>
          <w:szCs w:val="16"/>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not included in income of Parent and its Subsidiaries and (B) represent lost profits);</w:t>
      </w:r>
    </w:p>
    <w:p>
      <w:pPr>
        <w:spacing w:after="0" w:line="103" w:lineRule="exact"/>
        <w:rPr>
          <w:sz w:val="20"/>
          <w:szCs w:val="20"/>
          <w:color w:val="auto"/>
        </w:rPr>
      </w:pPr>
    </w:p>
    <w:p>
      <w:pPr>
        <w:ind w:left="460" w:right="160" w:firstLine="438"/>
        <w:spacing w:after="0" w:line="277" w:lineRule="auto"/>
        <w:rPr>
          <w:sz w:val="20"/>
          <w:szCs w:val="20"/>
          <w:color w:val="auto"/>
        </w:rPr>
      </w:pPr>
      <w:r>
        <w:rPr>
          <w:rFonts w:ascii="Arial" w:cs="Arial" w:eastAsia="Arial" w:hAnsi="Arial"/>
          <w:sz w:val="18"/>
          <w:szCs w:val="18"/>
          <w:color w:val="auto"/>
        </w:rPr>
        <w:t>provided, that the amount added back to EBITDA pursuant to clauses (c)(vii), (c)(ix), (c)(x), (c)(xii) and (c)(xiv) shall not exceed the greater of $7,500,000 and 10% of EBITDA (before giving effect to such clauses) in the aggregate; and</w:t>
      </w:r>
    </w:p>
    <w:p>
      <w:pPr>
        <w:spacing w:after="0" w:line="62" w:lineRule="exact"/>
        <w:rPr>
          <w:sz w:val="20"/>
          <w:szCs w:val="20"/>
          <w:color w:val="auto"/>
        </w:rPr>
      </w:pPr>
    </w:p>
    <w:p>
      <w:pPr>
        <w:ind w:left="460" w:right="420" w:firstLine="438"/>
        <w:spacing w:after="0" w:line="277" w:lineRule="auto"/>
        <w:rPr>
          <w:sz w:val="20"/>
          <w:szCs w:val="20"/>
          <w:color w:val="auto"/>
        </w:rPr>
      </w:pPr>
      <w:r>
        <w:rPr>
          <w:rFonts w:ascii="Arial" w:cs="Arial" w:eastAsia="Arial" w:hAnsi="Arial"/>
          <w:sz w:val="18"/>
          <w:szCs w:val="18"/>
          <w:color w:val="auto"/>
        </w:rPr>
        <w:t>provided, further, that the amount added back to EBITDA pursuant to clause (c)(xix) shall not exceed the greater of $7,500,000 and 10% of EBITDA (before giving effect to such clause) in the aggregate.</w:t>
      </w:r>
    </w:p>
    <w:p>
      <w:pPr>
        <w:spacing w:after="0" w:line="170"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For the purposes of calculating EBITDA for any period of four consecutive fiscal quarters (each, a “</w:t>
      </w:r>
      <w:r>
        <w:rPr>
          <w:rFonts w:ascii="Arial" w:cs="Arial" w:eastAsia="Arial" w:hAnsi="Arial"/>
          <w:sz w:val="18"/>
          <w:szCs w:val="18"/>
          <w:u w:val="single" w:color="auto"/>
          <w:color w:val="auto"/>
        </w:rPr>
        <w:t>Reference Period</w:t>
      </w:r>
      <w:r>
        <w:rPr>
          <w:rFonts w:ascii="Arial" w:cs="Arial" w:eastAsia="Arial" w:hAnsi="Arial"/>
          <w:sz w:val="18"/>
          <w:szCs w:val="18"/>
          <w:color w:val="auto"/>
        </w:rPr>
        <w:t xml:space="preserve">”), if at any time during such Reference Period (and on or after the Closing Date), any Loan Party or any of its Subsidiaries shall have made a Permitted Acquisition, EBITDA for such Reference Period shall be calculated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or in such other manner acceptable to Agent as if any such Permitted Acquisition occurred on the first day of such Reference Period.</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 addition, notwithstanding the foregoing, the amount of positive EBITDA attributable to Subsidiaries that are not Loan Parties during any calculation period, to the extent such amount exceeds 15% of EBITDA of the Loan Parties and their Subsidiaries on a consolidated basis for such calculation period, shall be disregarded for purposes of calculating the Fixed Charge Coverage Ratio and the Leverage Ratio.</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addition, notwithstanding the foregoing, (a) EBITDA for the quarter ended March 31, 2017 shall be deemed to be $(3,467,048), (b) EBITDA for the quarter ended June 30, 2017 shall be deemed to be $3,819,302, (c) EBITDA for the quarter ended September 30, 2017 shall be deemed to be $9,294,262, and (d) EBITDA for the quarter ended December 31, 2017 shall be deemed to be $17,297,516.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6" w:name="page37"/>
    <w:bookmarkEnd w:id="36"/>
    <w:p>
      <w:pPr>
        <w:ind w:right="1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Accounts</w:t>
      </w:r>
      <w:r>
        <w:rPr>
          <w:rFonts w:ascii="Arial" w:cs="Arial" w:eastAsia="Arial" w:hAnsi="Arial"/>
          <w:sz w:val="17"/>
          <w:szCs w:val="17"/>
          <w:color w:val="auto"/>
        </w:rPr>
        <w:t xml:space="preserve">” means those Accounts created by a Loan Party in the ordinary course of its business, that arise out of such Loan Party’s sale of goods or rendition of services, that comply with each of the representations and warranties respecting Eligible Accounts made in the Loan Documents, and that are not excluded as ineligible by virtue of one or more of the excluding criteria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criteria may be revised from time to time by Agent in Agent’s Permitted Discretion to address the results of any information with respect to the Loan Parties’ business or assets of which Agent becomes aware after the Closing Date, including any field examination performed by (or on behalf of) Agent from time to time after the Closing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Agent shall endeavor to notify Administrative Borrower at or before the time any such revision is instituted, but a non-willful failure of Agent to so notify Administrative Borrower shall not be a breach of this Agreement and shall not cause such revision to be ineffective;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adjustments shall not be duplicative of any Reserves imposed by Agent in connection with any such information. In determining the amount to be included, Eligible Accounts shall be calculated net of customer deposits, unapplied cash, taxes, finance charges, service charges, discounts, credits, allowances, and rebates. Eligible Accounts shall not include the following:</w:t>
      </w:r>
    </w:p>
    <w:p>
      <w:pPr>
        <w:spacing w:after="0" w:line="70" w:lineRule="exact"/>
        <w:rPr>
          <w:sz w:val="20"/>
          <w:szCs w:val="20"/>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that the Account Debtor has failed to pay within 90 days of original invoice date or 60 days of due date,</w:t>
      </w:r>
    </w:p>
    <w:p>
      <w:pPr>
        <w:spacing w:after="0" w:line="117"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owed by an Account Debtor (or its Affiliates) where 50% or more of all Accounts owed by that Account Debtor (or its Affiliates) are deemed ineligible under clause (a) above,</w:t>
      </w:r>
    </w:p>
    <w:p>
      <w:pPr>
        <w:spacing w:after="0" w:line="62" w:lineRule="exact"/>
        <w:rPr>
          <w:rFonts w:ascii="Arial" w:cs="Arial" w:eastAsia="Arial" w:hAnsi="Arial"/>
          <w:sz w:val="18"/>
          <w:szCs w:val="18"/>
          <w:color w:val="auto"/>
        </w:rPr>
      </w:pPr>
    </w:p>
    <w:p>
      <w:pPr>
        <w:ind w:right="520" w:firstLine="921"/>
        <w:spacing w:after="0" w:line="277" w:lineRule="auto"/>
        <w:tabs>
          <w:tab w:leader="none" w:pos="11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an Affiliate of any Loan Party or an employee or agent of any Loan Party or any Affiliate of any Loan Party,</w:t>
      </w:r>
    </w:p>
    <w:p>
      <w:pPr>
        <w:spacing w:after="0" w:line="62" w:lineRule="exact"/>
        <w:rPr>
          <w:rFonts w:ascii="Arial" w:cs="Arial" w:eastAsia="Arial" w:hAnsi="Arial"/>
          <w:sz w:val="18"/>
          <w:szCs w:val="18"/>
          <w:color w:val="auto"/>
        </w:rPr>
      </w:pPr>
    </w:p>
    <w:p>
      <w:pPr>
        <w:ind w:firstLine="921"/>
        <w:spacing w:after="0" w:line="264" w:lineRule="auto"/>
        <w:tabs>
          <w:tab w:leader="none" w:pos="11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(i) arising in a transaction wherein goods are placed on consignment or are sold pursuant to a guaranteed sale, a sale or return, a sale on approval, a bill and hold, or any other terms by reason of which the payment by the Account Debtor may be conditional, or (ii) with respect to which the payment terms are “C.O.D.”, cash on delivery or other similar terms,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7" w:name="page38"/>
    <w:bookmarkEnd w:id="37"/>
    <w:p>
      <w:pPr>
        <w:ind w:left="-20" w:right="80" w:firstLine="921"/>
        <w:spacing w:after="0" w:line="277" w:lineRule="auto"/>
        <w:tabs>
          <w:tab w:leader="none" w:pos="1138"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that are not payable in Dollars or, with respect to Accounts of a Canadian Loan Party, Dollars or Canadian Dollars, or, with respect to Accounts of a UK Loan Party, Dollars or Sterling,</w:t>
      </w:r>
    </w:p>
    <w:p>
      <w:pPr>
        <w:spacing w:after="0" w:line="62" w:lineRule="exact"/>
        <w:rPr>
          <w:rFonts w:ascii="Arial" w:cs="Arial" w:eastAsia="Arial" w:hAnsi="Arial"/>
          <w:sz w:val="18"/>
          <w:szCs w:val="18"/>
          <w:color w:val="auto"/>
        </w:rPr>
      </w:pPr>
    </w:p>
    <w:p>
      <w:pPr>
        <w:ind w:left="-20" w:right="60" w:firstLine="921"/>
        <w:spacing w:after="0" w:line="271" w:lineRule="auto"/>
        <w:tabs>
          <w:tab w:leader="none" w:pos="111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Accounts with respect to which the Account Debtor either (i) does not maintain its chief executive office or registered office in United States, Canada or United Kingdom (or, in the case of the UK Loan Party, any other EEA Member Country acceptable to Agent in its sole discretion), or (ii) is not organized under the laws of the United States or any state thereof, Canada or any province thereof, or the United Kingdom (or, in the case of the UK Loan Party, any other EEA Member Country acceptable to Agent in its sole discretion), or (iii) is the government of any foreign country or sovereign state, or of any state, province, municipality, or other political subdivision thereof, or of any department, agency, public corporation, or other instrumentality thereof, unless (A) the Account is supported by an irrevocable letter of credit reasonably satisfactory to Agent (as to form, substance, and issuer or domestic confirming bank) that has been delivered to Agent and, if requested by Agent, is directly drawable by Agent, or (B) the Account is covered by credit insurance in form, substance, and amount, and by an insurer, reasonably satisfactory to Agent,</w:t>
      </w:r>
    </w:p>
    <w:p>
      <w:pPr>
        <w:spacing w:after="0" w:line="70" w:lineRule="exact"/>
        <w:rPr>
          <w:rFonts w:ascii="Arial" w:cs="Arial" w:eastAsia="Arial" w:hAnsi="Arial"/>
          <w:sz w:val="17"/>
          <w:szCs w:val="17"/>
          <w:color w:val="auto"/>
        </w:rPr>
      </w:pPr>
    </w:p>
    <w:p>
      <w:pPr>
        <w:ind w:left="-20" w:right="60" w:firstLine="921"/>
        <w:spacing w:after="0" w:line="276" w:lineRule="auto"/>
        <w:tabs>
          <w:tab w:leader="none" w:pos="11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Accounts with respect to which the Account Debtor is either (i) the United States or any department, agency, or instrumentality of the United States (exclusive, however, of Accounts with respect to which Loan Parties have complied, to the reasonable satisfaction of Agent, with the Assignment of Claims Act, 31 USC §3727), (ii) any state of the United States or any other Governmental Authority, or (iii) a Governmental Authority of Canada or any province thereof (exclusive, however, of Accounts with respect to which a Canadian Loan Party has complied, to the reasonable satisfaction of Agent, with any applicable assignment of claims statute, including the Financial Administration Act (Canada)),</w:t>
      </w:r>
    </w:p>
    <w:p>
      <w:pPr>
        <w:spacing w:after="0" w:line="64" w:lineRule="exact"/>
        <w:rPr>
          <w:rFonts w:ascii="Arial" w:cs="Arial" w:eastAsia="Arial" w:hAnsi="Arial"/>
          <w:sz w:val="17"/>
          <w:szCs w:val="17"/>
          <w:color w:val="auto"/>
        </w:rPr>
      </w:pPr>
    </w:p>
    <w:p>
      <w:pPr>
        <w:ind w:left="-20" w:right="240" w:firstLine="921"/>
        <w:spacing w:after="0" w:line="308" w:lineRule="auto"/>
        <w:tabs>
          <w:tab w:leader="none" w:pos="11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Accounts with respect to which the Account Debtor is a creditor of a Loan Party, has or has asserted a right of recoupment or setoff, or has disputed its obligation to pay all or any portion of the Account, to the extent of such claim, right of recoupment or setoff, or dispute,</w:t>
      </w:r>
    </w:p>
    <w:p>
      <w:pPr>
        <w:spacing w:after="0" w:line="38" w:lineRule="exact"/>
        <w:rPr>
          <w:rFonts w:ascii="Arial" w:cs="Arial" w:eastAsia="Arial" w:hAnsi="Arial"/>
          <w:sz w:val="17"/>
          <w:szCs w:val="17"/>
          <w:color w:val="auto"/>
        </w:rPr>
      </w:pPr>
    </w:p>
    <w:p>
      <w:pPr>
        <w:ind w:left="-20" w:firstLine="921"/>
        <w:spacing w:after="0" w:line="270" w:lineRule="auto"/>
        <w:tabs>
          <w:tab w:leader="none" w:pos="1108"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Accounts with respect to an Account Debtor rated (or whose parent is rated) Baa3 or higher from Moody’s or BBB- or higher from S&amp;P whose Eligible Accounts owing to Loan Parties exceed 20%, or Accounts with respect to an Account Debtor other than one previously described by this clause (i) whose Eligible Accounts owing to Loan Parties exceed 15% (such percentages, in either case, as applied to a particular Account Debtor, being subject to reduction by Agent in its Permitted Discretion if the creditworthiness of such Account Debtor deteriorates;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Agent shall endeavor to notify Administrative Borrower at or before the time any such reduction is instituted, but a non-willful failure of Agent to so notify Administrative Borrower shall not be a breach of this Agreement and shall not cause such reduction to be ineffective) of all Eligible Accounts, to the extent of the obligations owing by such Account Debtor in excess of such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that in each case, the amount of Eligible Accounts that are excluded because they exceed the applicable foregoing percentage shall be determined by Agent in its Permitted Discretion based on all of the otherwise Eligible Accounts prior to giving effect to any eliminations based upon the foregoing concentration limit,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60" w:top="274" w:right="259" w:bottom="1440" w:gutter="0" w:footer="0" w:header="0"/>
        </w:sectPr>
      </w:pPr>
    </w:p>
    <w:bookmarkStart w:id="38" w:name="page39"/>
    <w:bookmarkEnd w:id="38"/>
    <w:p>
      <w:pPr>
        <w:ind w:left="-40" w:right="40" w:firstLine="921"/>
        <w:spacing w:after="0" w:line="342" w:lineRule="auto"/>
        <w:tabs>
          <w:tab w:leader="none" w:pos="1088"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Accounts with respect to which the Account Debtor is subject to an Insolvency Proceeding, is not Solvent, has gone out of business, or as to which any Loan Party has received notice of an imminent Insolvency Proceeding or a material impairment of the financial condition of such Account Debtor,</w:t>
      </w:r>
    </w:p>
    <w:p>
      <w:pPr>
        <w:spacing w:after="0" w:line="15" w:lineRule="exact"/>
        <w:rPr>
          <w:rFonts w:ascii="Arial" w:cs="Arial" w:eastAsia="Arial" w:hAnsi="Arial"/>
          <w:sz w:val="16"/>
          <w:szCs w:val="16"/>
          <w:color w:val="auto"/>
        </w:rPr>
      </w:pPr>
    </w:p>
    <w:p>
      <w:pPr>
        <w:ind w:left="-40" w:right="240" w:firstLine="921"/>
        <w:spacing w:after="0" w:line="277" w:lineRule="auto"/>
        <w:tabs>
          <w:tab w:leader="none" w:pos="11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the collection of which, Agent, in its Permitted Discretion, believes to be doubtful, including by reason of the Account Debtor’s financial condition,</w:t>
      </w:r>
    </w:p>
    <w:p>
      <w:pPr>
        <w:spacing w:after="0" w:line="62" w:lineRule="exact"/>
        <w:rPr>
          <w:rFonts w:ascii="Arial" w:cs="Arial" w:eastAsia="Arial" w:hAnsi="Arial"/>
          <w:sz w:val="18"/>
          <w:szCs w:val="18"/>
          <w:color w:val="auto"/>
        </w:rPr>
      </w:pPr>
    </w:p>
    <w:p>
      <w:pPr>
        <w:ind w:left="1100" w:hanging="219"/>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that are not subject to a valid and perfected first priority Agent’s Lien,</w:t>
      </w:r>
    </w:p>
    <w:p>
      <w:pPr>
        <w:spacing w:after="0" w:line="117" w:lineRule="exact"/>
        <w:rPr>
          <w:rFonts w:ascii="Arial" w:cs="Arial" w:eastAsia="Arial" w:hAnsi="Arial"/>
          <w:sz w:val="18"/>
          <w:szCs w:val="18"/>
          <w:color w:val="auto"/>
        </w:rPr>
      </w:pPr>
    </w:p>
    <w:p>
      <w:pPr>
        <w:ind w:left="-40" w:right="80" w:firstLine="921"/>
        <w:spacing w:after="0" w:line="277" w:lineRule="auto"/>
        <w:tabs>
          <w:tab w:leader="none" w:pos="11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 Sanctioned Person or Sanctioned Entity,</w:t>
      </w:r>
    </w:p>
    <w:p>
      <w:pPr>
        <w:spacing w:after="0" w:line="117" w:lineRule="exact"/>
        <w:rPr>
          <w:rFonts w:ascii="Arial" w:cs="Arial" w:eastAsia="Arial" w:hAnsi="Arial"/>
          <w:sz w:val="18"/>
          <w:szCs w:val="18"/>
          <w:color w:val="auto"/>
        </w:rPr>
      </w:pPr>
    </w:p>
    <w:p>
      <w:pPr>
        <w:ind w:left="-40" w:right="900" w:firstLine="921"/>
        <w:spacing w:after="0" w:line="308" w:lineRule="auto"/>
        <w:tabs>
          <w:tab w:leader="none" w:pos="11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Accounts (i) that represent the right to receive progress payments or other advance billings that are due prior to the completion of performance by the applicable Loan Party of the subject contract for goods or services, or (ii) that represent credit card sales,</w:t>
      </w:r>
    </w:p>
    <w:p>
      <w:pPr>
        <w:spacing w:after="0" w:line="38" w:lineRule="exact"/>
        <w:rPr>
          <w:rFonts w:ascii="Arial" w:cs="Arial" w:eastAsia="Arial" w:hAnsi="Arial"/>
          <w:sz w:val="17"/>
          <w:szCs w:val="17"/>
          <w:color w:val="auto"/>
        </w:rPr>
      </w:pPr>
    </w:p>
    <w:p>
      <w:pPr>
        <w:ind w:left="-40" w:right="40" w:firstLine="921"/>
        <w:spacing w:after="0" w:line="264" w:lineRule="auto"/>
        <w:tabs>
          <w:tab w:leader="none" w:pos="11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owned by a target acquired in connection with a Permitted Acquisition or Permitted Investment, or Accounts owned by a Person that is joined to this Agreement as a Loan Party pursuant to the provisions of this Agreement, until the completion of a field examination with respect to such Accounts, in each case, satisfactory to Agent in its Permitted Discretion,</w:t>
      </w:r>
    </w:p>
    <w:p>
      <w:pPr>
        <w:spacing w:after="0" w:line="73" w:lineRule="exact"/>
        <w:rPr>
          <w:rFonts w:ascii="Arial" w:cs="Arial" w:eastAsia="Arial" w:hAnsi="Arial"/>
          <w:sz w:val="18"/>
          <w:szCs w:val="18"/>
          <w:color w:val="auto"/>
        </w:rPr>
      </w:pPr>
    </w:p>
    <w:p>
      <w:pPr>
        <w:ind w:left="-40" w:firstLine="921"/>
        <w:spacing w:after="0" w:line="273" w:lineRule="auto"/>
        <w:tabs>
          <w:tab w:leader="none" w:pos="11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case of a UK Loan Party, Accounts with respect to which the Account Debtor is located in a jurisdiction that requires, as a condition to access to the courts of such jurisdiction, that a creditor qualify to transact business, file a business activities report or other report or form, or take one or more other actions, unless such UK Loan Party has so qualified, filed such reports or forms, or taken such actions (and, in each case, paid any required fees or other charges), except to the extent that such UK Loan Party may qualify subsequently as a foreign entity authorized to transact business in such jurisdiction and gain access to such courts, without incurring any cost or penalty viewed by Agent in its Permitted Discretion to be significant in amount, and such later qualification cures any access to such courts to enforce payment of such Account,</w:t>
      </w:r>
    </w:p>
    <w:p>
      <w:pPr>
        <w:spacing w:after="0" w:line="70" w:lineRule="exact"/>
        <w:rPr>
          <w:rFonts w:ascii="Arial" w:cs="Arial" w:eastAsia="Arial" w:hAnsi="Arial"/>
          <w:sz w:val="17"/>
          <w:szCs w:val="17"/>
          <w:color w:val="auto"/>
        </w:rPr>
      </w:pPr>
    </w:p>
    <w:p>
      <w:pPr>
        <w:ind w:left="-40" w:right="160" w:firstLine="921"/>
        <w:spacing w:after="0" w:line="264" w:lineRule="auto"/>
        <w:tabs>
          <w:tab w:leader="none" w:pos="10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the UK Loan Party, Accounts for which the assignment thereof are restricted or prohibited by the terms of such Account or by law except to the extent such restriction or prohibition does not prevent the collection thereof by the UK Loan Party or affect or impair the validity or perfection of the Agent’s Liens therein,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80" w:top="274" w:right="279" w:bottom="1440" w:gutter="0" w:footer="0" w:header="0"/>
        </w:sectPr>
      </w:pPr>
    </w:p>
    <w:bookmarkStart w:id="39" w:name="page40"/>
    <w:bookmarkEnd w:id="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 in the case of the UK Loan Party, Accounts not governed by the laws of any legal jurisdiction of the United States or the United Kingdom.</w:t>
      </w:r>
    </w:p>
    <w:p>
      <w:pPr>
        <w:spacing w:after="0" w:line="24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Finished Goods Inventory</w:t>
      </w:r>
      <w:r>
        <w:rPr>
          <w:rFonts w:ascii="Arial" w:cs="Arial" w:eastAsia="Arial" w:hAnsi="Arial"/>
          <w:sz w:val="18"/>
          <w:szCs w:val="18"/>
          <w:color w:val="auto"/>
        </w:rPr>
        <w:t>” means Inventory that qualifies as Eligible Inventory and consists of first quality finished goods held for sale in the ordinary course of Loan Parties’ business.</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Inventory</w:t>
      </w:r>
      <w:r>
        <w:rPr>
          <w:rFonts w:ascii="Arial" w:cs="Arial" w:eastAsia="Arial" w:hAnsi="Arial"/>
          <w:sz w:val="17"/>
          <w:szCs w:val="17"/>
          <w:color w:val="auto"/>
        </w:rPr>
        <w:t xml:space="preserve">” means Inventory of a Loan Party, that complies with each of the representations and warranties respecting Eligible Inventory made in the Loan Documents, and that is not excluded as ineligible by virtue of one or more of the excluding criteria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that such criteria may be revised from time to time by Agent in Agent’s Permitted Discretion to address the results of any information with respect to the Loan Parties’ business or assets of which Agent becomes aware after the Closing Date, including any field examination or appraisal performed or received by Agent from time to time after the Closing Date. In determining the amount to be so included, Inventory shall be valued at the lower of cost or market on a basis consistent with Loan Parties’ historical accounting practices. An item of Inventory shall not be included in Eligible Inventory if:</w:t>
      </w:r>
    </w:p>
    <w:p>
      <w:pPr>
        <w:spacing w:after="0" w:line="70" w:lineRule="exact"/>
        <w:rPr>
          <w:sz w:val="20"/>
          <w:szCs w:val="20"/>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Loan Party does not have good, valid, and marketable title thereto,</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Loan Party does not have actual and exclusive possession thereof (either directly or through a bailee or agent of a Borrower),</w:t>
      </w:r>
    </w:p>
    <w:p>
      <w:pPr>
        <w:spacing w:after="0" w:line="117" w:lineRule="exact"/>
        <w:rPr>
          <w:rFonts w:ascii="Arial" w:cs="Arial" w:eastAsia="Arial" w:hAnsi="Arial"/>
          <w:sz w:val="18"/>
          <w:szCs w:val="18"/>
          <w:color w:val="auto"/>
        </w:rPr>
      </w:pPr>
    </w:p>
    <w:p>
      <w:pPr>
        <w:ind w:right="40" w:firstLine="921"/>
        <w:spacing w:after="0" w:line="255" w:lineRule="auto"/>
        <w:tabs>
          <w:tab w:leader="none" w:pos="11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it is not located at one of the locations in the continental United States (in the case of US Borrowers), Canada (in the case of Canadian Borrowers) or the United Kingdom (in the case of UK Borrowers), in each case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may be amended from time to time with not less than 10 days’ prior written notice to Agent) (or in-transit from one such location in the United States to another such location in the United States (in the case of US Borrowers), or in-transit from one such location in Canada to another such location in Canada (in the case of Canadian Borrowers) or in-transit from one such location in the United Kingdom to another such location in the United Kingdom (in the case of the UK Borrowers)),</w:t>
      </w:r>
    </w:p>
    <w:p>
      <w:pPr>
        <w:spacing w:after="0" w:line="85" w:lineRule="exact"/>
        <w:rPr>
          <w:rFonts w:ascii="Arial" w:cs="Arial" w:eastAsia="Arial" w:hAnsi="Arial"/>
          <w:sz w:val="18"/>
          <w:szCs w:val="18"/>
          <w:color w:val="auto"/>
        </w:rPr>
      </w:pPr>
    </w:p>
    <w:p>
      <w:pPr>
        <w:ind w:left="1180" w:hanging="25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stored at locations holding less than $200,000 of the aggregate value of such Borrower’s Inventory,</w:t>
      </w:r>
    </w:p>
    <w:p>
      <w:pPr>
        <w:spacing w:after="0" w:line="117" w:lineRule="exact"/>
        <w:rPr>
          <w:rFonts w:ascii="Arial" w:cs="Arial" w:eastAsia="Arial" w:hAnsi="Arial"/>
          <w:sz w:val="18"/>
          <w:szCs w:val="18"/>
          <w:color w:val="auto"/>
        </w:rPr>
      </w:pPr>
    </w:p>
    <w:p>
      <w:pPr>
        <w:ind w:right="300" w:firstLine="921"/>
        <w:spacing w:after="0" w:line="264" w:lineRule="auto"/>
        <w:tabs>
          <w:tab w:leader="none" w:pos="11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it is in-transit to or from a location of a Borrower (other than in-transit from one location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to another location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may be amended from time to time with the prior written consent of Agent)),</w:t>
      </w:r>
    </w:p>
    <w:p>
      <w:pPr>
        <w:spacing w:after="0" w:line="73" w:lineRule="exact"/>
        <w:rPr>
          <w:rFonts w:ascii="Arial" w:cs="Arial" w:eastAsia="Arial" w:hAnsi="Arial"/>
          <w:sz w:val="18"/>
          <w:szCs w:val="18"/>
          <w:color w:val="auto"/>
        </w:rPr>
      </w:pPr>
    </w:p>
    <w:p>
      <w:pPr>
        <w:jc w:val="both"/>
        <w:ind w:right="60" w:firstLine="921"/>
        <w:spacing w:after="0" w:line="312" w:lineRule="auto"/>
        <w:tabs>
          <w:tab w:leader="none" w:pos="1138" w:val="left"/>
        </w:tabs>
        <w:numPr>
          <w:ilvl w:val="0"/>
          <w:numId w:val="23"/>
        </w:numPr>
        <w:rPr>
          <w:rFonts w:ascii="Arial" w:cs="Arial" w:eastAsia="Arial" w:hAnsi="Arial"/>
          <w:sz w:val="16"/>
          <w:szCs w:val="16"/>
          <w:color w:val="auto"/>
        </w:rPr>
      </w:pPr>
      <w:r>
        <w:rPr>
          <w:rFonts w:ascii="Arial" w:cs="Arial" w:eastAsia="Arial" w:hAnsi="Arial"/>
          <w:sz w:val="16"/>
          <w:szCs w:val="16"/>
          <w:color w:val="auto"/>
        </w:rPr>
        <w:t>it is located on real property leased by a Loan Party or in a contract warehouse or with a bailee or customer, in each case, unless either (i) it is subject to a Collateral Access Agreement executed by the lessor, customer or warehouseman, as the case may be, and it is segregated or otherwise separately identifiable from goods of others, if any, stored on the premises, or (ii) Agent has established a Landlord Reserve with respect to such location,</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the subject of a bill of lading or other document of title,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40" w:name="page41"/>
    <w:bookmarkEnd w:id="40"/>
    <w:p>
      <w:pPr>
        <w:ind w:left="1180" w:hanging="25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not subject to a valid and perfected first priority Agent’s Lien,</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consists of goods returned or rejected by a Loan Party’s customers,</w:t>
      </w:r>
    </w:p>
    <w:p>
      <w:pPr>
        <w:spacing w:after="0" w:line="117" w:lineRule="exact"/>
        <w:rPr>
          <w:rFonts w:ascii="Arial" w:cs="Arial" w:eastAsia="Arial" w:hAnsi="Arial"/>
          <w:sz w:val="18"/>
          <w:szCs w:val="18"/>
          <w:color w:val="auto"/>
        </w:rPr>
      </w:pPr>
    </w:p>
    <w:p>
      <w:pPr>
        <w:ind w:firstLine="921"/>
        <w:spacing w:after="0" w:line="259" w:lineRule="auto"/>
        <w:tabs>
          <w:tab w:leader="none" w:pos="11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consists of goods that are obsolete, slow moving, spoiled or are otherwise past the stated expiration, “sell-by” or “use by” date applicable thereto, restrictive or custom items or otherwise is manufactured in accordance with customer-specific requirements, work-in-process, raw materials, or goods that constitute spare parts, packaging and shipping materials, supplies used or consumed in Loan Parties’ business, bill and hold goods, defective goods, “seconds,” or Inventory acquired on consignment,</w:t>
      </w:r>
    </w:p>
    <w:p>
      <w:pPr>
        <w:spacing w:after="0" w:line="78"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subject to third party intellectual property, licensing or other proprietary rights, unless Agent is satisfied that such Inventory can be freely sold by Agent on and after the occurrence of an Event of a Default despite such third party rights,</w:t>
      </w:r>
    </w:p>
    <w:p>
      <w:pPr>
        <w:spacing w:after="0" w:line="62" w:lineRule="exact"/>
        <w:rPr>
          <w:rFonts w:ascii="Arial" w:cs="Arial" w:eastAsia="Arial" w:hAnsi="Arial"/>
          <w:sz w:val="18"/>
          <w:szCs w:val="18"/>
          <w:color w:val="auto"/>
        </w:rPr>
      </w:pPr>
    </w:p>
    <w:p>
      <w:pPr>
        <w:ind w:right="160" w:firstLine="921"/>
        <w:spacing w:after="0" w:line="286" w:lineRule="auto"/>
        <w:tabs>
          <w:tab w:leader="none" w:pos="11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it was acquired in connection with a Permitted Acquisition or Permitted Investment, or such Inventory is owned by a Person that is joined to this Agreement as a Loan Party pursuant to the provisions of this Agreement, until the completion of an Acceptable Appraisal of such Inventory and the completion of a field examination with respect to such Inventory that is satisfactory to Agent in its Permitted Discretion, or</w:t>
      </w:r>
    </w:p>
    <w:p>
      <w:pPr>
        <w:spacing w:after="0" w:line="57" w:lineRule="exact"/>
        <w:rPr>
          <w:rFonts w:ascii="Arial" w:cs="Arial" w:eastAsia="Arial" w:hAnsi="Arial"/>
          <w:sz w:val="17"/>
          <w:szCs w:val="17"/>
          <w:color w:val="auto"/>
        </w:rPr>
      </w:pPr>
    </w:p>
    <w:p>
      <w:pPr>
        <w:jc w:val="both"/>
        <w:ind w:right="120" w:firstLine="921"/>
        <w:spacing w:after="0" w:line="264" w:lineRule="auto"/>
        <w:tabs>
          <w:tab w:leader="none" w:pos="12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 UK Loan Party, it is subject to (i) a contract or related documentation (such as an invoice or purchase order) which includes retention-of-title rights in favor of the vendor or supplier thereof and (ii) applicable laws which provide that retention of title may be imposed unilaterally by the vendor or supplier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Transferee</w:t>
      </w:r>
      <w:r>
        <w:rPr>
          <w:rFonts w:ascii="Arial" w:cs="Arial" w:eastAsia="Arial" w:hAnsi="Arial"/>
          <w:sz w:val="16"/>
          <w:szCs w:val="16"/>
          <w:color w:val="auto"/>
        </w:rPr>
        <w:t>” means (a) any Lender (other than a Defaulting Lender), any Affiliate of any Lender and any Related Fund of any Lender;</w:t>
      </w:r>
    </w:p>
    <w:p>
      <w:pPr>
        <w:spacing w:after="0" w:line="46"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a commercial bank organized under the laws of the United States or any state thereof or Canada, and having total assets in excess of $1,000,000,000;</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savings and loan association or savings bank organized under the laws of the United States or any state thereof, and having total assets in excess of</w:t>
      </w:r>
    </w:p>
    <w:p>
      <w:pPr>
        <w:spacing w:after="0" w:line="32" w:lineRule="exact"/>
        <w:rPr>
          <w:rFonts w:ascii="Arial" w:cs="Arial" w:eastAsia="Arial" w:hAnsi="Arial"/>
          <w:sz w:val="16"/>
          <w:szCs w:val="16"/>
          <w:color w:val="auto"/>
        </w:rPr>
      </w:pPr>
    </w:p>
    <w:p>
      <w:pPr>
        <w:ind w:right="1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$1,000,000,000; (iii) a commercial bank organized under the laws of any other country or a political subdivision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(A) (x) such bank is acting through a branch or agency located in the United States or Canada, or (y) such bank is organized under the laws of a country that is a member of the Organization for Economic Cooperation and Development or a political subdivision of such country, and (B) such bank has total assets in excess of $1,000,000,000;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$1,000,000,000; and (d) during the continuation of an Event of Default other than a Specified Event of Default, any other Person (other than a natural person or a Competitor) approved by Agent, and during the continuation of a Specified Event of Default, any other Person (other than a natural person) approved by Agent.</w:t>
      </w:r>
    </w:p>
    <w:p>
      <w:pPr>
        <w:spacing w:after="0" w:line="184"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Plan</w:t>
      </w:r>
      <w:r>
        <w:rPr>
          <w:rFonts w:ascii="Arial" w:cs="Arial" w:eastAsia="Arial" w:hAnsi="Arial"/>
          <w:sz w:val="17"/>
          <w:szCs w:val="17"/>
          <w:color w:val="auto"/>
        </w:rPr>
        <w:t>” means any “employee benefit plan” within the meaning of Section 3(3) of ERISA to which any Loan Party has an obligation to make a contribution, including as the result of being an ERISA Affiliate, other than a Canadian Benefit Plan or a Canadian Pension Plan.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1" w:name="page42"/>
    <w:bookmarkEnd w:id="41"/>
    <w:p>
      <w:pPr>
        <w:ind w:right="2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Environmental Action</w:t>
      </w:r>
      <w:r>
        <w:rPr>
          <w:rFonts w:ascii="Arial" w:cs="Arial" w:eastAsia="Arial" w:hAnsi="Arial"/>
          <w:sz w:val="17"/>
          <w:szCs w:val="17"/>
          <w:color w:val="auto"/>
        </w:rPr>
        <w:t>” means any written complaint, summons, citation, notice, directive, order, claim, litigation, investigation, judicial or administrative proceeding, judgment, decree, letter, or other written communication from any Governmental Authority, or any third party involving violations of Environmental Laws or releases of Hazardous Materials (a) from any assets, properties, or businesses of any Borrower, any Subsidiary of any Borrower, or any of their predecessors in interest, (b) from adjoining properties or businesses, or (c) from or onto any facilities which received Hazardous Materials generated by any Borrower, any Subsidiary of any Borrower, or any of their predecessors in interest.</w:t>
      </w:r>
    </w:p>
    <w:p>
      <w:pPr>
        <w:spacing w:after="0" w:line="173" w:lineRule="exact"/>
        <w:rPr>
          <w:sz w:val="20"/>
          <w:szCs w:val="20"/>
          <w:color w:val="auto"/>
        </w:rPr>
      </w:pPr>
    </w:p>
    <w:p>
      <w:pPr>
        <w:jc w:val="both"/>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decree, consent decree or judgment, in each case, to the extent binding on any Loan Party or its Subsidiaries, relating to the environment, the effect of the environment on employee health, or Hazardous Materials, in each case as amended from time to time.</w:t>
      </w:r>
    </w:p>
    <w:p>
      <w:pPr>
        <w:spacing w:after="0" w:line="188"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Lien</w:t>
      </w:r>
      <w:r>
        <w:rPr>
          <w:rFonts w:ascii="Arial" w:cs="Arial" w:eastAsia="Arial" w:hAnsi="Arial"/>
          <w:sz w:val="18"/>
          <w:szCs w:val="18"/>
          <w:color w:val="auto"/>
        </w:rPr>
        <w:t>” means any Lien in favor of any Governmental Authority for Environmental Liabilities.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means equipment (as that term is defined in the Code or, to the extent applicable, the PPSA).</w:t>
      </w:r>
    </w:p>
    <w:p>
      <w:pPr>
        <w:spacing w:after="0" w:line="225"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47"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Issuance Proceeds</w:t>
      </w:r>
      <w:r>
        <w:rPr>
          <w:rFonts w:ascii="Arial" w:cs="Arial" w:eastAsia="Arial" w:hAnsi="Arial"/>
          <w:sz w:val="17"/>
          <w:szCs w:val="17"/>
          <w:color w:val="auto"/>
        </w:rPr>
        <w:t>” means, with respect to any issuance of Equity Interests, all cash and cash equivalent investments received by the Parent from such issuance of Equity Interests (other than from any Subsidiary) after payment of, or provision for, all underwriter fees and expenses, SEC and blue sky fees, printing costs, fees and expenses of accountants, lawyers and other professional advisors, brokerage commissions and other out-of-pocket fees and expenses actually incurred by any Loan Party in connection with such issuance of Equity Interests.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2" w:name="page43"/>
    <w:bookmarkEnd w:id="4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any successor statute thereto.</w:t>
      </w:r>
    </w:p>
    <w:p>
      <w:pPr>
        <w:spacing w:after="0" w:line="225"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 any Person subject to ERISA whose employees are treated as employed by the same employer as the employees of any Loan Party under IRC Section 414(b), (b) any trade or business subject to ERISA whose employees are treated as employed by the same employer as the employees of any Loan Party under IRC Section 414(c), (c) solely for purposes of Section 302 of ERISA and Section 412 of the IRC, any organization subject to ERISA that is a member of an affiliated service group of which any Loan Party is a member under IRC Section 414(m), or (d) solely for purposes of Section 302 of ERISA and Section 412 of the IRC, any Person subject to ERISA that is a party to an arrangement with any Loan Party and whose employees are aggregated with the employees of such Loan Party under IRC Section 414(o).</w:t>
      </w:r>
    </w:p>
    <w:p>
      <w:pPr>
        <w:spacing w:after="0" w:line="178"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in effect from time to time.</w:t>
      </w:r>
    </w:p>
    <w:p>
      <w:pPr>
        <w:spacing w:after="0" w:line="22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means and refers to the nominal rate of exchange (vis-à-vis Dollars) for a currency other than Dollars published in the Wall Street Journal (Western Edition) on the date of determination (which shall be a Business Day on which the Wall Street Journal (Western Edition) is published), expressed as the number of units of such other currency per one Dollar.</w:t>
      </w:r>
    </w:p>
    <w:p>
      <w:pPr>
        <w:spacing w:after="0" w:line="18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Collateral</w:t>
      </w:r>
      <w:r>
        <w:rPr>
          <w:rFonts w:ascii="Arial" w:cs="Arial" w:eastAsia="Arial" w:hAnsi="Arial"/>
          <w:sz w:val="16"/>
          <w:szCs w:val="16"/>
          <w:color w:val="auto"/>
        </w:rPr>
        <w:t>” means, with respect to any Loan Party, including any Person that becomes a Loan Party after the Closing Date, (i) voting Equity Interests of any CFC, solely to the extent that (w) such Equity Interests secure the US Obligations (and, for the avoidance of doubt, this clause (i) shall not limit the portion of such Equity Interests pledged to secure any Foreign Obligations), and (y) such Equity Interests represent more than 65% of the outstanding voting Equity Interests of such CFC (which pledge, if reasonably requested by Agent, shall be governed by the laws of the jurisdiction of such Subsidiary), (ii) any rights or interest in any contract, lease, permit, license, or license agreement covering real or personal property of any Grantor if under the terms of such contract, lease, permit, license, or license agreement, or applicable law with respect thereto, the grant of a security interest or lien therein is prohibited as a matter of law or under the terms of such contract, lease, permit, license, or license agreement and such prohibition or restriction has not been waived or the consent of the other party to such contract, lease, permit, license, or license agreement has not been obtained (provided, that (A) the foregoing exclusions of this clause (ii) shall in no way be construed (1) to apply to the extent that any described prohibition or restriction is ineffective under Section 9-</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43" w:name="page44"/>
    <w:bookmarkEnd w:id="43"/>
    <w:p>
      <w:pPr>
        <w:ind w:right="1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406, 9-407, 9-408, or 9-409 of the Code or other applicable law, or (2) to apply to the extent that any consent or waiver has been obtained that would permit Agent’s security interest or lien to attach notwithstanding the prohibition or restriction on the pledge of such contract, lease, permit, license, or license agreement and (B) the foregoing exclusions of clauses (i) and (ii) shall in no way be construed to limit, impair, or otherwise affect any of Agent’s, any other member of the Lender Group’s or any Bank Product Provider’s continuing security interests in and liens upon any rights or interests of any Grantor in or to</w:t>
      </w:r>
    </w:p>
    <w:p>
      <w:pPr>
        <w:spacing w:after="0" w:line="2" w:lineRule="exact"/>
        <w:rPr>
          <w:sz w:val="20"/>
          <w:szCs w:val="20"/>
          <w:color w:val="auto"/>
        </w:rPr>
      </w:pPr>
    </w:p>
    <w:p>
      <w:pPr>
        <w:ind w:firstLine="8"/>
        <w:spacing w:after="0" w:line="286"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monies due or to become due under or in connection with any described contract, lease, permit, license, license agreement, or Equity Interests (including any Accounts or Equity Interests), or (2) any proceeds from the sale, license, lease, or other dispositions of any such contract, lease, permit, license, license agreement, or Equity Interests), (iii) any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PTO of an amendment to allege use pursuant to 15 U.S.C. Section 1060(a) (or any successor provision), such intent-to-use trademark application shall be considered Collateral, (iv) any motor vehicles, (v) any real or personal property as to which the Agent and the Borrowers agree in writing that the costs or other consequences of obtaining a security interest or perfection thereof (including, without limitation, based on the location of any such real property) are excessive in view of the benefits to be obtained by the Lender Group therefrom, and (vi) all fee and leasehold interests in real property that is not required to constitute Real Property Collateral. Notwithstanding the foregoing, “Excluded Collateral” shall not include any asset which is the subject of a floating charge governed by English law or Scottish law.</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means (a) any Disregarded Domestic Persons, (b) any Foreign Subsidiary of a Loan Party that is a CFC, (c) any Domestic Subsidiary of a Loan Party that is a direct or indirect subsidiary of a Foreign Subsidiary that is a CFC, or (d) any Subsidiary that has no assets (other than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assets) other than Equity Interests in entities described in clauses (a), (b) and (c) above.</w:t>
      </w:r>
    </w:p>
    <w:p>
      <w:pPr>
        <w:spacing w:after="0" w:line="181"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xml:space="preserve">” means, with respect to any Loan Party, any Swap Obligation if, and to the extent that, all or a portion of the guaranty of such Loan Party of (including by virtue of the joint and several liability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92"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(i) any Tax imposed on the net income or net profits of any Lender or any Participant (including any branch profits taxes), in each case imposed by the jurisdiction (or by any political subdivision or taxing authority thereof) in which such Lender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4" w:name="page45"/>
    <w:bookmarkEnd w:id="44"/>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United States or Canadian</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federal withholding taxes that would not have been imposed but for a Lender’s or a Participant’s failure to comply with the requirements of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of this Agreement, (iii) any United States or Canadian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except that Excluded Taxes shall not include any amount that such Foreign Lender (or its assignor, if any) was previously entitled to receive pursuant to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this Agreement, if any, with respect to such withholding tax at the time such Foreign Lender becomes a party to this Agreement (or designates a new lending office), and (iv) any United States, Canada and UK withholding taxes imposed under FATCA.</w:t>
      </w:r>
    </w:p>
    <w:p>
      <w:pPr>
        <w:spacing w:after="0" w:line="193"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Facility</w:t>
      </w:r>
      <w:r>
        <w:rPr>
          <w:rFonts w:ascii="Arial" w:cs="Arial" w:eastAsia="Arial" w:hAnsi="Arial"/>
          <w:sz w:val="16"/>
          <w:szCs w:val="16"/>
          <w:color w:val="auto"/>
        </w:rPr>
        <w:t>” means that certain Credit Agreement, dated as of April 18, 2014, among Parent, as Borrower, Wells Fargo, as administrative agent, an issuing lender and US swingline lender thereunder, the lenders party thereto from time to time and Wells Fargo Securities, LLC, as sole lead arranger and sole book runner thereunder, as such agreement has been amended, restated, supplemented or otherwise modified from time to time.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described on </w:t>
      </w:r>
      <w:r>
        <w:rPr>
          <w:rFonts w:ascii="Arial" w:cs="Arial" w:eastAsia="Arial" w:hAnsi="Arial"/>
          <w:sz w:val="18"/>
          <w:szCs w:val="18"/>
          <w:u w:val="single" w:color="auto"/>
          <w:color w:val="auto"/>
        </w:rPr>
        <w:t>Schedule E-1</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Advances</w:t>
      </w:r>
      <w:r>
        <w:rPr>
          <w:rFonts w:ascii="Arial" w:cs="Arial" w:eastAsia="Arial" w:hAnsi="Arial"/>
          <w:sz w:val="18"/>
          <w:szCs w:val="18"/>
          <w:color w:val="auto"/>
        </w:rPr>
        <w:t>” means the US Extraordinary Advances, the UK Extraordinary Advances and/or the Canadian Extraordinary Advances, as the context requires.</w:t>
      </w:r>
    </w:p>
    <w:p>
      <w:pPr>
        <w:spacing w:after="0" w:line="170"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Office</w:t>
      </w:r>
      <w:r>
        <w:rPr>
          <w:rFonts w:ascii="Arial" w:cs="Arial" w:eastAsia="Arial" w:hAnsi="Arial"/>
          <w:sz w:val="18"/>
          <w:szCs w:val="18"/>
          <w:color w:val="auto"/>
        </w:rPr>
        <w:t>” means in respect of a Lender, the office or offices notified by that Lender to the Agent in writing on or before the date it becomes a Lender (or, following that date, by not less than five Business Days’ written notice) as the office or offices through which it will perform its obligations under this Agreement.</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(c) any intergovernmental agreement entered into by the United States (or any fiscal or regulatory legislation, rules, or practices adopted pursuant to any such intergovernmental agreement entered into in connection therewith) and (d) any analogous provision of UK and Canadian law.</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45" w:name="page46"/>
    <w:bookmarkEnd w:id="45"/>
    <w:p>
      <w:pPr>
        <w:ind w:right="6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fee letter, dated as of even date with this Agreement, among Borrowers and Agent, in form and substance reasonably satisfactory to Agent.</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period, a fluctuating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Support Direction</w:t>
      </w:r>
      <w:r>
        <w:rPr>
          <w:rFonts w:ascii="Arial" w:cs="Arial" w:eastAsia="Arial" w:hAnsi="Arial"/>
          <w:sz w:val="16"/>
          <w:szCs w:val="16"/>
          <w:color w:val="auto"/>
        </w:rPr>
        <w:t>” means a financial support direction issued by the Pensions Regulator under section 43 of the Pensions Act 2004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211"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means, with respect to any fiscal period and with respect to Parent determined on a consolidated basis in accordance with GAAP, the sum, without duplication, of (a) Interest Expense required to be paid (other than interest paid-in-kind, amortization of financing fees, and other non-cash Interest Expense) during such period, (b) scheduled principal payments in respect of Indebtedness that are required to be paid during such period,</w:t>
      </w:r>
    </w:p>
    <w:p>
      <w:pPr>
        <w:ind w:right="60" w:firstLine="8"/>
        <w:spacing w:after="0" w:line="254"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federal, state, provincial and local income and capital taxes required to be paid during such period, (d) all Restricted Payments paid (whether in cash or other property, other than common Equity Interests) during such period and all amounts paid with respect to Earn-Outs during such period, and (e) to the extent not otherwise deducted from EBITDA for such period, all payments required to be made during such period in respect of any funding deficiency or funding shortfall with respect to any Pension Plan or for any Withdrawal Liability.</w:t>
      </w:r>
    </w:p>
    <w:p>
      <w:pPr>
        <w:spacing w:after="0" w:line="190"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For the purpose of any calculation of Fixed Charge Coverage Ratio on or prior to March 31, 2019, each component set forth in clauses (a), (b), (c) (d) and (e) of definition of Fixed Charges for each period set forth below shall be deemed to be the amount set forth below opposite such period: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Federal, State,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Scheduled</w:t>
            </w: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Provincial and</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Restricted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3"/>
              </w:rPr>
              <w:t>Principal</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Local Income</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Payments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Funding</w:t>
            </w:r>
          </w:p>
        </w:tc>
      </w:tr>
      <w:tr>
        <w:trPr>
          <w:trHeight w:val="149"/>
        </w:trPr>
        <w:tc>
          <w:tcPr>
            <w:tcW w:w="4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Interest</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Payments of</w:t>
            </w:r>
          </w:p>
        </w:tc>
        <w:tc>
          <w:tcPr>
            <w:tcW w:w="10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0"/>
              </w:rPr>
              <w:t>and Capital</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and Earn-</w:t>
            </w:r>
          </w:p>
        </w:tc>
        <w:tc>
          <w:tcPr>
            <w:tcW w:w="26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Deficiencies</w:t>
            </w:r>
          </w:p>
        </w:tc>
      </w:tr>
      <w:tr>
        <w:trPr>
          <w:trHeight w:val="167"/>
        </w:trPr>
        <w:tc>
          <w:tcPr>
            <w:tcW w:w="4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color w:val="auto"/>
                <w:w w:val="88"/>
              </w:rPr>
              <w:t>Expense</w:t>
            </w: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Indebtedness</w:t>
            </w:r>
          </w:p>
        </w:tc>
        <w:tc>
          <w:tcPr>
            <w:tcW w:w="10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color w:val="auto"/>
              </w:rPr>
              <w:t>Taxes</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Outs</w:t>
            </w:r>
          </w:p>
        </w:tc>
        <w:tc>
          <w:tcPr>
            <w:tcW w:w="2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or Shortfalls</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Quarter ended March 31, 2017</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947,787</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2,223,940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Fiscal Quarter ended June 30, 2017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1,550,299</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495,049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Fiscal Quarter ended September 30, 2017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2,005,001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47,536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Fiscal Quarter ended December 31, 2017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2,071,295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0"/>
        </w:trPr>
        <w:tc>
          <w:tcPr>
            <w:tcW w:w="4280" w:type="dxa"/>
            <w:vAlign w:val="bottom"/>
          </w:tcPr>
          <w:p>
            <w:pPr>
              <w:spacing w:after="0"/>
              <w:rPr>
                <w:sz w:val="24"/>
                <w:szCs w:val="24"/>
                <w:color w:val="auto"/>
              </w:rPr>
            </w:pPr>
          </w:p>
        </w:tc>
        <w:tc>
          <w:tcPr>
            <w:tcW w:w="2180" w:type="dxa"/>
            <w:vAlign w:val="bottom"/>
            <w:gridSpan w:val="3"/>
          </w:tcPr>
          <w:p>
            <w:pPr>
              <w:jc w:val="right"/>
              <w:ind w:right="516"/>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6" w:name="page47"/>
    <w:bookmarkEnd w:id="46"/>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means, with respect to any fiscal period and with respect to Parent determined on a consolidated basis in accordance with GAAP, the ratio of (a) EBITDA for such period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Unfinanced Capital Expenditures made (to the extent not already incurred in a prior period) or incurred during such period, to (b) Fixed Charges for such period. For the purpose of any calculation of Fixed Charge Coverage Ratio on or prior to March 31, 2019, Unfinanced Capital Expenditures shall be deemed to be for each period set forth below shall be deemed to be $765,872 for the fiscal quarter ended March 31, 2017, $959,311 for the fiscal quarter ended June 30, 2017, $1,245,066 for the fiscal quarter ended September 30, 2017, and $1,249,342 for the fiscal quarter ended December 31, 2017.</w:t>
      </w:r>
    </w:p>
    <w:p>
      <w:pPr>
        <w:spacing w:after="0" w:line="1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For the purposes of calculating Fixed Charge Coverage Ratio for any Reference Period, if at any time during such Reference Period (and after the Closing Date), any Loan Party or any of its Subsidiaries shall have made a Permitted Acquisition, Fixed Charges and Unfinanced Capital Expenditures for such Reference Period shall be calculated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or in such other manner acceptable to Agent as if any such Permitted Acquisition occurred on the first day of such Reference Period.</w:t>
      </w:r>
    </w:p>
    <w:p>
      <w:pPr>
        <w:spacing w:after="0" w:line="18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Flow of Funds Agreement</w:t>
      </w:r>
      <w:r>
        <w:rPr>
          <w:rFonts w:ascii="Arial" w:cs="Arial" w:eastAsia="Arial" w:hAnsi="Arial"/>
          <w:sz w:val="18"/>
          <w:szCs w:val="18"/>
          <w:color w:val="auto"/>
        </w:rPr>
        <w:t>” means a flow of funds agreement, dated as of even date with this Agreement, in form and substance reasonably satisfactory to Agent, executed and delivered by Borrowers and Agent.</w:t>
      </w:r>
    </w:p>
    <w:p>
      <w:pPr>
        <w:spacing w:after="0" w:line="170"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Cash Equivalents</w:t>
      </w:r>
      <w:r>
        <w:rPr>
          <w:rFonts w:ascii="Arial" w:cs="Arial" w:eastAsia="Arial" w:hAnsi="Arial"/>
          <w:sz w:val="17"/>
          <w:szCs w:val="17"/>
          <w:color w:val="auto"/>
        </w:rPr>
        <w:t>” means (a) certificates of deposit, bankers’ acceptances, or time deposits maturing within one year from the date of acquisition thereof, in each case payable in an Agreed Currency and issued by any bank organized under the laws of any Specified State and having at the date of acquisition thereof combined capital and surplus of not less than $1,000,000,000 (calculated at the then applicable Exchange Rate), (b) Deposit Accounts maintained with any bank that satisfies the criteria described in clause (a) above, and (c) Investments in money market funds substantially all of whose assets are invested in the types of assets described in clauses (a) through (b) above.</w:t>
      </w:r>
    </w:p>
    <w:p>
      <w:pPr>
        <w:spacing w:after="0" w:line="173"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any Lender or Participant that (i) in the case of a US Borrower, is not a United States person within the meaning of IRC section 7701(a)(30), (ii) in the case of a Canadian Borrower, is not resident in Canada (within the meaning of the Income Tax Act (Canada) for the purposes of Part XIII of the Income Tax Act (Canada), and (iii) in the case of a UK Borrower, is not resident in the United Kingdom.</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Obligations</w:t>
      </w:r>
      <w:r>
        <w:rPr>
          <w:rFonts w:ascii="Arial" w:cs="Arial" w:eastAsia="Arial" w:hAnsi="Arial"/>
          <w:sz w:val="18"/>
          <w:szCs w:val="18"/>
          <w:color w:val="auto"/>
        </w:rPr>
        <w:t>” means the UK Obligations plus the Canadian Obligations.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7" w:name="page48"/>
    <w:bookmarkEnd w:id="47"/>
    <w:p>
      <w:pPr>
        <w:ind w:right="5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direct or indirect subsidiary of any Loan Party that is organized under the laws of, or incorporated in, any jurisdiction other than the United States, any state thereof or the District of Columbia.</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of any date of determination, all Indebtedness for borrowed money or letters of credit of Parent, determined on a consolidated basis in accordance with GAAP, including, in any event, but without duplication, with respect to the Loan Parties and their Subsidiaries, the Revolver Usage, and the amount of their Capitalized Lease Obligations.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the date on which a Borrowing occurs.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Losses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2.12(b)(ii)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 consistently applied.</w:t>
      </w:r>
    </w:p>
    <w:p>
      <w:pPr>
        <w:spacing w:after="0" w:line="225"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with respect to any Person, the certificate of registration/incorporation, memorandum and articles of association/incorporation, by-laws, or other organizational documents of such Person.</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US Guarantors, Canadian Guarantors and UK Guarantors.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 “swap agreement” as that term is defined in Section 101(53B)(A) of the Bankruptcy Code.</w:t>
      </w:r>
    </w:p>
    <w:p>
      <w:pPr>
        <w:spacing w:after="0" w:line="225" w:lineRule="exact"/>
        <w:rPr>
          <w:sz w:val="20"/>
          <w:szCs w:val="20"/>
          <w:color w:val="auto"/>
        </w:rPr>
      </w:pPr>
    </w:p>
    <w:p>
      <w:pPr>
        <w:jc w:val="center"/>
        <w:ind w:left="520" w:right="6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Obligations</w:t>
      </w:r>
      <w:r>
        <w:rPr>
          <w:rFonts w:ascii="Arial" w:cs="Arial" w:eastAsia="Arial" w:hAnsi="Arial"/>
          <w:sz w:val="18"/>
          <w:szCs w:val="18"/>
          <w:color w:val="auto"/>
        </w:rPr>
        <w:t>” means US Hedge Obligations, UK Hedge Obligations and/or Canadian Hedge Obligations, as the context requires. -37-</w:t>
      </w:r>
    </w:p>
    <w:p>
      <w:pPr>
        <w:sectPr>
          <w:pgSz w:w="11900" w:h="16838" w:orient="portrait"/>
          <w:cols w:equalWidth="0" w:num="1">
            <w:col w:w="11380"/>
          </w:cols>
          <w:pgMar w:left="240" w:top="274" w:right="279" w:bottom="1440" w:gutter="0" w:footer="0" w:header="0"/>
        </w:sectPr>
      </w:pPr>
    </w:p>
    <w:bookmarkStart w:id="48" w:name="page49"/>
    <w:bookmarkEnd w:id="48"/>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Hedge Provider</w:t>
      </w:r>
      <w:r>
        <w:rPr>
          <w:rFonts w:ascii="Arial" w:cs="Arial" w:eastAsia="Arial" w:hAnsi="Arial"/>
          <w:sz w:val="18"/>
          <w:szCs w:val="18"/>
          <w:color w:val="auto"/>
        </w:rPr>
        <w:t xml:space="preserve">” means any Bank Product Provider that is a party to a Hedge Agreement with a Loan Party or its Subsidiaries or otherwise provides Canadian Bank Products, UK Bank Products or US Bank Products under clause (f) of the definitions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any time, a Lender ceases to be a Lender under this Agreement (prior to the payment in full of the Obligations), then, from and after the date on which it ceases to be a Lender thereunder, neither it nor any of its Affiliates shall constitute Hedge Providers and the obligations with respect to Hedge Agreements entered into with such former Lender or any of its Affiliates shall no longer constitute Hedge Obligations.</w:t>
      </w:r>
    </w:p>
    <w:p>
      <w:pPr>
        <w:spacing w:after="0" w:line="188"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xml:space="preserve">” means any Subsidiary (other than any Borrower) that, taken together with all Immaterial Subsidiaries as of the last day of the fiscal quarter of Parent most recently ended for which financial statements are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as of the Closing Date, the most recent financial statements delivered prior to the Closing Date), did not have assets with a value in excess of 5.0% of consolidated total assets or revenues representing in excess of 5.0% of revenues (for Parent and its Subsidiaries on a consolidated basis) as of such date (or as of the Closing Date,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as of the last day of the fiscal quarter of Parent most recently ended for which financial statements are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as of the Closing Date, the most recent financial statements delivered prior to the Closing Date), the consolidated total assets or revenues of all Subsidiaries so designated by the Borrowers as “Immaterial Subsidiaries” shall have, as of the last day of such fiscal quarter, exceeded either of the limits set forth above, then within thirty (30) days after the date such financial statements are so delivered (or so required to be delivered), the Borrowers shall re-designate one or more Immaterial Subsidiaries in a written notice to Agent, such that, as a result thereof, the consolidated total assets and revenues of all Subsidiaries that are still designated as “Immaterial Subsidiaries” do not exceed such limits. Upon any such Subsidiary ceasing to be an Immaterial Subsidiary pursuant to the preceding sentence, such Subsidiary shall comply with </w:t>
      </w:r>
      <w:r>
        <w:rPr>
          <w:rFonts w:ascii="Arial" w:cs="Arial" w:eastAsia="Arial" w:hAnsi="Arial"/>
          <w:sz w:val="17"/>
          <w:szCs w:val="17"/>
          <w:u w:val="single" w:color="auto"/>
          <w:color w:val="auto"/>
        </w:rPr>
        <w:t>Section 5.10</w:t>
      </w:r>
      <w:r>
        <w:rPr>
          <w:rFonts w:ascii="Arial" w:cs="Arial" w:eastAsia="Arial" w:hAnsi="Arial"/>
          <w:sz w:val="17"/>
          <w:szCs w:val="17"/>
          <w:color w:val="auto"/>
        </w:rPr>
        <w:t>, to the extent applicable for so long as such Subsidiary is not determined or deemed to be an Immaterial Subsidiary.</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Joinder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Reporting Event</w:t>
      </w:r>
      <w:r>
        <w:rPr>
          <w:rFonts w:ascii="Arial" w:cs="Arial" w:eastAsia="Arial" w:hAnsi="Arial"/>
          <w:sz w:val="18"/>
          <w:szCs w:val="18"/>
          <w:color w:val="auto"/>
        </w:rPr>
        <w:t>” means if at any time Aggregate Excess Availability is less than the greater of (a) 15% of the Line Cap, and (b) $70,000,000.</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Reporting Period</w:t>
      </w:r>
      <w:r>
        <w:rPr>
          <w:rFonts w:ascii="Arial" w:cs="Arial" w:eastAsia="Arial" w:hAnsi="Arial"/>
          <w:sz w:val="18"/>
          <w:szCs w:val="18"/>
          <w:color w:val="auto"/>
        </w:rPr>
        <w:t>” means the period commencing after the continuance of an Increased Reporting Event and continuing until the date when no Increased Reporting Event has occurred for 30 consecutive days.</w:t>
      </w:r>
    </w:p>
    <w:p>
      <w:pPr>
        <w:spacing w:after="0" w:line="170"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4" w:right="319" w:bottom="1440" w:gutter="0" w:footer="0" w:header="0"/>
        </w:sectPr>
      </w:pPr>
    </w:p>
    <w:bookmarkStart w:id="49" w:name="page50"/>
    <w:bookmarkEnd w:id="4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 of such Person, irrespective of whether such obligation or liability is assumed, (e) all obligations of such Person to pay the deferred purchase price of assets (other than trade payables incurred in the ordinary course of business and repayable in accordance with customary trade practices and, for the avoidance of doubt, other than royalty payments payable in the ordinary course of business in respect of non-exclusive licenses) and any earn-out or similar obligations,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 and</w:t>
      </w:r>
    </w:p>
    <w:p>
      <w:pPr>
        <w:spacing w:after="0" w:line="2" w:lineRule="exact"/>
        <w:rPr>
          <w:sz w:val="20"/>
          <w:szCs w:val="20"/>
          <w:color w:val="auto"/>
        </w:rPr>
      </w:pPr>
    </w:p>
    <w:p>
      <w:pPr>
        <w:jc w:val="both"/>
        <w:ind w:right="300" w:firstLine="8"/>
        <w:spacing w:after="0" w:line="281"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w:t>
      </w:r>
    </w:p>
    <w:p>
      <w:pPr>
        <w:spacing w:after="0" w:line="1" w:lineRule="exact"/>
        <w:rPr>
          <w:rFonts w:ascii="Arial" w:cs="Arial" w:eastAsia="Arial" w:hAnsi="Arial"/>
          <w:sz w:val="16"/>
          <w:szCs w:val="16"/>
          <w:color w:val="auto"/>
        </w:rPr>
      </w:pPr>
    </w:p>
    <w:p>
      <w:pPr>
        <w:ind w:right="180" w:firstLine="8"/>
        <w:spacing w:after="0" w:line="253"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24"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Law</w:t>
      </w:r>
      <w:r>
        <w:rPr>
          <w:rFonts w:ascii="Arial" w:cs="Arial" w:eastAsia="Arial" w:hAnsi="Arial"/>
          <w:sz w:val="17"/>
          <w:szCs w:val="17"/>
          <w:color w:val="auto"/>
        </w:rPr>
        <w:t xml:space="preserve">” means (i) the Bankruptcy Code, (ii) the </w:t>
      </w:r>
      <w:r>
        <w:rPr>
          <w:rFonts w:ascii="Arial" w:cs="Arial" w:eastAsia="Arial" w:hAnsi="Arial"/>
          <w:sz w:val="17"/>
          <w:szCs w:val="17"/>
          <w:i w:val="1"/>
          <w:iCs w:val="1"/>
          <w:color w:val="auto"/>
        </w:rPr>
        <w:t>Bankruptcy and Insolvency Act</w:t>
      </w:r>
      <w:r>
        <w:rPr>
          <w:rFonts w:ascii="Arial" w:cs="Arial" w:eastAsia="Arial" w:hAnsi="Arial"/>
          <w:sz w:val="17"/>
          <w:szCs w:val="17"/>
          <w:color w:val="auto"/>
        </w:rPr>
        <w:t xml:space="preserve"> (Canada), (iii) the </w:t>
      </w:r>
      <w:r>
        <w:rPr>
          <w:rFonts w:ascii="Arial" w:cs="Arial" w:eastAsia="Arial" w:hAnsi="Arial"/>
          <w:sz w:val="17"/>
          <w:szCs w:val="17"/>
          <w:i w:val="1"/>
          <w:iCs w:val="1"/>
          <w:color w:val="auto"/>
        </w:rPr>
        <w:t>Companies’ Creditors Arrangement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 </w:t>
      </w:r>
      <w:r>
        <w:rPr>
          <w:rFonts w:ascii="Arial" w:cs="Arial" w:eastAsia="Arial" w:hAnsi="Arial"/>
          <w:sz w:val="17"/>
          <w:szCs w:val="17"/>
          <w:color w:val="auto"/>
        </w:rPr>
        <w:t>(Canada), (iv) the</w:t>
      </w:r>
      <w:r>
        <w:rPr>
          <w:rFonts w:ascii="Arial" w:cs="Arial" w:eastAsia="Arial" w:hAnsi="Arial"/>
          <w:sz w:val="17"/>
          <w:szCs w:val="17"/>
          <w:i w:val="1"/>
          <w:iCs w:val="1"/>
          <w:color w:val="auto"/>
        </w:rPr>
        <w:t xml:space="preserve"> Winding-Up and Restructuring Act </w:t>
      </w:r>
      <w:r>
        <w:rPr>
          <w:rFonts w:ascii="Arial" w:cs="Arial" w:eastAsia="Arial" w:hAnsi="Arial"/>
          <w:sz w:val="17"/>
          <w:szCs w:val="17"/>
          <w:color w:val="auto"/>
        </w:rPr>
        <w:t>(Canada), (v) the</w:t>
      </w:r>
      <w:r>
        <w:rPr>
          <w:rFonts w:ascii="Arial" w:cs="Arial" w:eastAsia="Arial" w:hAnsi="Arial"/>
          <w:sz w:val="17"/>
          <w:szCs w:val="17"/>
          <w:i w:val="1"/>
          <w:iCs w:val="1"/>
          <w:color w:val="auto"/>
        </w:rPr>
        <w:t xml:space="preserve"> Canada Business Corporations Act </w:t>
      </w:r>
      <w:r>
        <w:rPr>
          <w:rFonts w:ascii="Arial" w:cs="Arial" w:eastAsia="Arial" w:hAnsi="Arial"/>
          <w:sz w:val="17"/>
          <w:szCs w:val="17"/>
          <w:color w:val="auto"/>
        </w:rPr>
        <w:t>(Canada), the</w:t>
      </w:r>
      <w:r>
        <w:rPr>
          <w:rFonts w:ascii="Arial" w:cs="Arial" w:eastAsia="Arial" w:hAnsi="Arial"/>
          <w:sz w:val="17"/>
          <w:szCs w:val="17"/>
          <w:i w:val="1"/>
          <w:iCs w:val="1"/>
          <w:color w:val="auto"/>
        </w:rPr>
        <w:t xml:space="preserve"> Business Corporations Act </w:t>
      </w:r>
      <w:r>
        <w:rPr>
          <w:rFonts w:ascii="Arial" w:cs="Arial" w:eastAsia="Arial" w:hAnsi="Arial"/>
          <w:sz w:val="17"/>
          <w:szCs w:val="17"/>
          <w:color w:val="auto"/>
        </w:rPr>
        <w:t xml:space="preserve">(Alberta) and any other corporate statute of like effect, where such statute is used by a Person to propose an arrangement, (vi) the </w:t>
      </w:r>
      <w:r>
        <w:rPr>
          <w:rFonts w:ascii="Arial" w:cs="Arial" w:eastAsia="Arial" w:hAnsi="Arial"/>
          <w:sz w:val="17"/>
          <w:szCs w:val="17"/>
          <w:i w:val="1"/>
          <w:iCs w:val="1"/>
          <w:color w:val="auto"/>
        </w:rPr>
        <w:t>Insolvency Act 1986</w:t>
      </w:r>
      <w:r>
        <w:rPr>
          <w:rFonts w:ascii="Arial" w:cs="Arial" w:eastAsia="Arial" w:hAnsi="Arial"/>
          <w:sz w:val="17"/>
          <w:szCs w:val="17"/>
          <w:color w:val="auto"/>
        </w:rPr>
        <w:t xml:space="preserve"> (UK) and/or (vii) any similar legislation in a relevant jurisdiction, in each case as applicable and as in effect from time to time.</w:t>
      </w:r>
    </w:p>
    <w:p>
      <w:pPr>
        <w:spacing w:after="0" w:line="17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w:t>
      </w:r>
      <w:r>
        <w:rPr>
          <w:rFonts w:ascii="Arial" w:cs="Arial" w:eastAsia="Arial" w:hAnsi="Arial"/>
          <w:sz w:val="16"/>
          <w:szCs w:val="16"/>
          <w:color w:val="auto"/>
        </w:rPr>
        <w:t>” means any proceeding commenced by or against any Person under any Insolvency Law or under any other state, provincial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 and including, in the case of a UK Loan Party, any corporate action, legal proceedings or other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0" w:name="page51"/>
    <w:bookmarkEnd w:id="5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procedure commenced or other step taken (including the making of an application, the presentation of a petition, the filing or service of a notice or the passing of a resolution) in relation to (a) such UK Loan Party being adjudicated or found insolvent, (b) the suspension of payments, a moratorium of any indebtedness, winding-up, dissolution, administration or reorganization (by way of voluntary arrangement, scheme of arrangement or otherwise) of such UK Loan Party other than a solvent liquidation or reorganization of such UK Loan Party, the terms of which have been previously approved in writing by Agent,</w:t>
      </w:r>
    </w:p>
    <w:p>
      <w:pPr>
        <w:spacing w:after="0" w:line="2" w:lineRule="exact"/>
        <w:rPr>
          <w:sz w:val="20"/>
          <w:szCs w:val="20"/>
          <w:color w:val="auto"/>
        </w:rPr>
      </w:pPr>
    </w:p>
    <w:p>
      <w:pPr>
        <w:ind w:right="40" w:firstLine="8"/>
        <w:spacing w:after="0" w:line="255"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composition, trust deed, assignation, assignment or arrangement with any class of creditors of such UK Loan Party, or (d) the appointment of a liquidator, supervisor, Scottish receiver, receiver, administrator, administrative receiver, special manager, compulsory manager, trustee, judicial factor or other similar officer in respect of such UK Loan Party or any of its assets.</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Regulation</w:t>
      </w:r>
      <w:r>
        <w:rPr>
          <w:rFonts w:ascii="Arial" w:cs="Arial" w:eastAsia="Arial" w:hAnsi="Arial"/>
          <w:sz w:val="18"/>
          <w:szCs w:val="18"/>
          <w:color w:val="auto"/>
        </w:rPr>
        <w:t>” means The Council of the European Union Regulation No. 2015/848 on insolvency proceedings (recast).</w:t>
      </w:r>
    </w:p>
    <w:p>
      <w:pPr>
        <w:spacing w:after="0" w:line="22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Subordination Agreement</w:t>
      </w:r>
      <w:r>
        <w:rPr>
          <w:rFonts w:ascii="Arial" w:cs="Arial" w:eastAsia="Arial" w:hAnsi="Arial"/>
          <w:sz w:val="16"/>
          <w:szCs w:val="16"/>
          <w:color w:val="auto"/>
        </w:rPr>
        <w:t>” means an intercompany subordination agreement, dated as of even date with this Agreement, executed and delivered by each Loan Party and each of its Subsidiaries, and Agent, the form and substance of which is reasonably satisfactory to Agent.</w:t>
      </w:r>
    </w:p>
    <w:p>
      <w:pPr>
        <w:spacing w:after="0" w:line="124"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for any period, the aggregate of the interest expense of Parent for such period, determined on a consolidated basis in accordance with GAAP.</w:t>
      </w:r>
    </w:p>
    <w:p>
      <w:pPr>
        <w:spacing w:after="0" w:line="170"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each Non-Base Rate Loan, a period commencing on the date of the making of such Non-Base Rate Loan (or the continuation of a Non-Base Rate Loan or the conversion of a Base Rate Loan to a Non-Base Rate Loan) and ending 1, 2, 3, or 6 months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that (a) interest shall accrue at the applicable rate based upon the Non-Base Rate from and including the first day of each Interest Period to, but excluding, the day on which any Interest Period expires, (b) any Interest Period that would end on a day that is not a Business Day shall be extended to the next succeeding Business Day unless such Business Day falls in another calendar month, in which case such Interest Period shall end on the next preceding Business Day, (c)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1, 2, 3 or 6 months after the date on which the Interest Period began, as applicable, and (d) Borrowers may not elect an Interest Period which will end after the Maturity Date.</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means inventory (as that term is defined in the Code or, to the extent applicable, the PPSA).</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 Reserves</w:t>
      </w:r>
      <w:r>
        <w:rPr>
          <w:rFonts w:ascii="Arial" w:cs="Arial" w:eastAsia="Arial" w:hAnsi="Arial"/>
          <w:sz w:val="18"/>
          <w:szCs w:val="18"/>
          <w:color w:val="auto"/>
        </w:rPr>
        <w:t xml:space="preserve">” means, as of any date of determination, without duplication, (a) Landlord Reserves in respect of Inventory, and (b) those reserves that Agent deems necessary or appropriate, in its Permitted Discretion and subject to </w:t>
      </w:r>
      <w:r>
        <w:rPr>
          <w:rFonts w:ascii="Arial" w:cs="Arial" w:eastAsia="Arial" w:hAnsi="Arial"/>
          <w:sz w:val="18"/>
          <w:szCs w:val="18"/>
          <w:u w:val="single" w:color="auto"/>
          <w:color w:val="auto"/>
        </w:rPr>
        <w:t>Section 2.1(e)</w:t>
      </w:r>
      <w:r>
        <w:rPr>
          <w:rFonts w:ascii="Arial" w:cs="Arial" w:eastAsia="Arial" w:hAnsi="Arial"/>
          <w:sz w:val="18"/>
          <w:szCs w:val="18"/>
          <w:color w:val="auto"/>
        </w:rPr>
        <w:t>, to establish and maintain (including reserves for slow moving Inventory and Inventory shrinkage) with respect to Eligible Inventory, the Maximum Revolver Amount, the UK Maximum Revolver Amount or the Canadian Maximum Revolver Amount, including based on the results of appraisals.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51" w:name="page52"/>
    <w:bookmarkEnd w:id="51"/>
    <w:p>
      <w:pPr>
        <w:ind w:right="10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accounts receivable arising in the ordinary course of business), or acquisitions of Indebtedness, Equity Interests, or all or substantially all of the assets of such other Person (or of any division or business line of such other Person), and any other items that are or would be classified as investments on a balance sheet prepared in accordance with GAAP. The amount of any Investment shall be the original cost of such Investment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cost of all additions thereto, without any adjustment for increases or decreases in value, or write-ups, write-downs, or write-offs with respect to such Investment.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(International Chamber of Commerce Publication No. 590) and any version or revision thereof accepted by an Issuing lender for use.</w:t>
      </w:r>
    </w:p>
    <w:p>
      <w:pPr>
        <w:spacing w:after="0" w:line="170"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w:t>
      </w:r>
      <w:r>
        <w:rPr>
          <w:rFonts w:ascii="Arial" w:cs="Arial" w:eastAsia="Arial" w:hAnsi="Arial"/>
          <w:sz w:val="16"/>
          <w:szCs w:val="16"/>
          <w:color w:val="auto"/>
        </w:rPr>
        <w:t>” means, with respect to any Letter of Credit, a letter of credit application, a letter of credit agreement, or any other document, agreement or instrument entered into (or to be entered into) by a Borrower in favor of an Issuing Lender and relating to such Letter of Credit.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US Issuing Lender, UK Issuing Lender and/or Canadian Issuing Lender, as the context requires.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Income Tax Act 2007 (UK).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 Runner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Landlord Reserve</w:t>
      </w:r>
      <w:r>
        <w:rPr>
          <w:rFonts w:ascii="Arial" w:cs="Arial" w:eastAsia="Arial" w:hAnsi="Arial"/>
          <w:sz w:val="17"/>
          <w:szCs w:val="17"/>
          <w:color w:val="auto"/>
        </w:rPr>
        <w:t>” means, as to each location at which a Borrower has Inventory or books and records located and as to which a Collateral Access Agreement has not been received by Agent, a reserve deemed necessary or reasonably desirable by Agent in an amount up to 3 months’ rent, storage charges, fees or other amounts under the lease or other applicable occupancy agreement relative to such Borrower’s right to occupy such location or, if greater and Agent so elects in its Permitted Discretion, the number of months’ rent, storage charges, fess or other amounts for which the landlord, bailee, warehouseman or other property owner will have, under applicable law, a Lien in the Inventory of such Borrower to secure the payment of such amounts under the lease or other applicable agreement relative to such Borrower’s right to occupy such location.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2" w:name="page53"/>
    <w:bookmarkEnd w:id="52"/>
    <w:p>
      <w:pPr>
        <w:ind w:right="1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has the meaning set forth in the preamble to this Agreement, shall include each Issuing Lender and each Swing Lender, and shall also include any other Person made a party to this Agreement pursuant to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 and “Lenders” means each of the Lenders or any one or more of them.</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w:t>
      </w:r>
      <w:r>
        <w:rPr>
          <w:rFonts w:ascii="Arial" w:cs="Arial" w:eastAsia="Arial" w:hAnsi="Arial"/>
          <w:sz w:val="18"/>
          <w:szCs w:val="18"/>
          <w:color w:val="auto"/>
        </w:rPr>
        <w:t>” means each of the Lenders (including each Issuing Lender and each Swing Lender) and Agent, or any one or more of them and, solely for purposes of the definition of “Lender Group Expenses”, any UK security trustee appointed under a UK Security Document and any receiver, attorney, manager, agent or other person appointed by such UK security trustee.</w:t>
      </w:r>
    </w:p>
    <w:p>
      <w:pPr>
        <w:spacing w:after="0" w:line="181"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Group Expenses</w:t>
      </w:r>
      <w:r>
        <w:rPr>
          <w:rFonts w:ascii="Arial" w:cs="Arial" w:eastAsia="Arial" w:hAnsi="Arial"/>
          <w:sz w:val="16"/>
          <w:szCs w:val="16"/>
          <w:color w:val="auto"/>
        </w:rPr>
        <w:t>” means all (a) out-of-pocket costs or expenses (including taxes and insurance premiums) required to be paid by any Loan Party or its Subsidiaries under any of the Loan Documents that are paid, advanced, or incurred by the Lender Group, (b) reasonable, documented and out-of-pocket fees or charges paid or incurred by Agent in connection with the Lender Group’s transactions with each Loan Party and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Agent’s documented and out-of-pocket customary fees and charges imposed or incurred in connection with any background checks or OFAC/PEP searches related to any Loan Party or its Subsidiaries, (d) Agent’s documented and customary fees and charges (as adjusted from time to time) with respect to the disbursement of funds (or the receipt of funds) to or for the account of any Borrower (whether by wire transfer or otherwise), together with any out-of-pocket costs and expenses incurred in connection therewith, (e) customary charges imposed or incurred by Agent resulting from the dishonor of checks payable by or to any Loan Party,</w:t>
      </w:r>
    </w:p>
    <w:p>
      <w:pPr>
        <w:spacing w:after="0" w:line="7" w:lineRule="exact"/>
        <w:rPr>
          <w:sz w:val="20"/>
          <w:szCs w:val="20"/>
          <w:color w:val="auto"/>
        </w:rPr>
      </w:pPr>
    </w:p>
    <w:p>
      <w:pPr>
        <w:ind w:firstLine="8"/>
        <w:spacing w:after="0" w:line="285" w:lineRule="auto"/>
        <w:tabs>
          <w:tab w:leader="none" w:pos="2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field examination, appraisal, and valuation fees and expenses of Agent related to any field examinations, appraisals, or valuation to the extent of the fees and charges (and up to the amount of any limitation) provided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of this Agreement, (h) Agent’s and Lenders’ reasonable, documented and out-of-pocket costs and expenses (including reasonable and documented outside counsel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 Agent’s reasonable, documented and out-of-pocket costs and expenses (including reasonable and documented attorneys’ fees and due diligence expenses) incurred in advising, structuring, drafting, reviewing, administering (including travel, meals, and lodging), syndicating (including reasonable costs and expenses relative to CUSIP, DXSyndicate™, SyndTrak or other communication costs incurred in connection with a syndication of the loan facilities), or amending, waiving, or modifying the Loan Documents, and (j) Agent’s and each Lender’s reasonable, documented and out-of-pocket costs and expenses (including reasonable and documented attorneys, accountants, consultants, and other advisors fees and expenses) incurred in terminating, enforcing (including attorneys,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3" w:name="page54"/>
    <w:bookmarkEnd w:id="53"/>
    <w:p>
      <w:pPr>
        <w:jc w:val="both"/>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 Representatives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means, with respect to any Lender, such Lender, together with such Lender’s Affiliates, officers, directors, employees, attorneys, and agents.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US Letter of Credit, UK Letter of Credit and/or a Canadian Letter of Credit, as the context requires.</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Collateralization</w:t>
      </w:r>
      <w:r>
        <w:rPr>
          <w:rFonts w:ascii="Arial" w:cs="Arial" w:eastAsia="Arial" w:hAnsi="Arial"/>
          <w:sz w:val="16"/>
          <w:szCs w:val="16"/>
          <w:color w:val="auto"/>
        </w:rPr>
        <w:t xml:space="preserve">” means with respect to the US Letter of Credit Obligations, UK Letter of Credit Obligations or the Canadian Letter of Credit Obligations, as applicable, either (a) providing cash collateral in the Applicable Currency (pursuant to documentation reasonably satisfactory to Agent (including that Agent has a first priority perfected Lien in such cash collateral), including provisions that specify that the applicable Letter of Credit Fees and all commissions, fees, charges and expenses provided for in </w:t>
      </w:r>
      <w:r>
        <w:rPr>
          <w:rFonts w:ascii="Arial" w:cs="Arial" w:eastAsia="Arial" w:hAnsi="Arial"/>
          <w:sz w:val="16"/>
          <w:szCs w:val="16"/>
          <w:u w:val="single" w:color="auto"/>
          <w:color w:val="auto"/>
        </w:rPr>
        <w:t>Section 2.11A(k)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2.11B(k)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2.11C(k)</w:t>
      </w:r>
      <w:r>
        <w:rPr>
          <w:rFonts w:ascii="Arial" w:cs="Arial" w:eastAsia="Arial" w:hAnsi="Arial"/>
          <w:sz w:val="16"/>
          <w:szCs w:val="16"/>
          <w:color w:val="auto"/>
        </w:rPr>
        <w:t xml:space="preserve"> of this Agreement (including any fronting fees) will continue to accrue while the applicable Letters of Credit are outstanding) to be held by Agent for the benefit of the applicable Revolving Lenders in an amount equal to 105% of the then existing US Letter of Credit Usage, 120% of the then existing UK Letter of Credit Usage and 105% of the then existing Canadian Letter of Credit Usage, (b) delivering to Agent documentation executed by all beneficiaries under the applicable Letters of Credit, in form and substance reasonably satisfactory to Agent and the applicable Issuing Lender, terminating all of such beneficiaries’ rights under the Letters of Credit, or (c) providing Agent with a standby letter of credit, in form and substance reasonably satisfactory to Agent in the Applicable Currency, from a commercial bank acceptable to Agent (in its sole discretion) in an amount equal to 105% of the then existing US Letter of Credit Usage, 120% of the then existing UK Letter of Credit Usage and 105% of the then existing Canadian Letter of Credit Usage (it being understood that the applicable Letter of Credit Fee and all fronting fees set forth in this Agreement will continue to accrue while the applicable Letters of Credit are outstanding and that any such fees that accrue must be an amount that can be drawn under any such standby letter of credit).</w:t>
      </w:r>
    </w:p>
    <w:p>
      <w:pPr>
        <w:spacing w:after="0" w:line="17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Disbursement</w:t>
      </w:r>
      <w:r>
        <w:rPr>
          <w:rFonts w:ascii="Arial" w:cs="Arial" w:eastAsia="Arial" w:hAnsi="Arial"/>
          <w:sz w:val="18"/>
          <w:szCs w:val="18"/>
          <w:color w:val="auto"/>
        </w:rPr>
        <w:t>” means a US Letter of Credit Disbursement, UK Letter of Credit Disbursement and/or a Canadian Letter of Credit Disbursement, as the context requires.</w:t>
      </w:r>
    </w:p>
    <w:p>
      <w:pPr>
        <w:spacing w:after="0" w:line="170"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Exposure</w:t>
      </w:r>
      <w:r>
        <w:rPr>
          <w:rFonts w:ascii="Arial" w:cs="Arial" w:eastAsia="Arial" w:hAnsi="Arial"/>
          <w:sz w:val="18"/>
          <w:szCs w:val="18"/>
          <w:color w:val="auto"/>
        </w:rPr>
        <w:t>” means the US Letter of Credit Exposure, UK Letter of Credit Exposure and/or the Canadian Letter of Credit Exposure, as the context requires.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54" w:name="page55"/>
    <w:bookmarkEnd w:id="54"/>
    <w:p>
      <w:pPr>
        <w:ind w:right="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Letter of Credit Indemnified Costs</w:t>
      </w:r>
      <w:r>
        <w:rPr>
          <w:rFonts w:ascii="Arial" w:cs="Arial" w:eastAsia="Arial" w:hAnsi="Arial"/>
          <w:sz w:val="17"/>
          <w:szCs w:val="17"/>
          <w:color w:val="auto"/>
        </w:rPr>
        <w:t xml:space="preserve">” means any and all claims, demands, suits, actions, investigations, proceedings, liabilities, fines, costs, penalties, and damages, and all reasonable documented fees and disbursements of attorneys or experts, and all other costs and expenses actually incurred in connection therewith or in connection with the enforcement of the indemnification set forth in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(as and when they are incurred and irrespective of whether suit is brought), which may be incurred by or awarded against any Letter of Credit Related Person (other than Taxes, which shall be governed by </w:t>
      </w:r>
      <w:r>
        <w:rPr>
          <w:rFonts w:ascii="Arial" w:cs="Arial" w:eastAsia="Arial" w:hAnsi="Arial"/>
          <w:sz w:val="17"/>
          <w:szCs w:val="17"/>
          <w:u w:val="single" w:color="auto"/>
          <w:color w:val="auto"/>
        </w:rPr>
        <w:t>Section 16</w:t>
      </w:r>
      <w:r>
        <w:rPr>
          <w:rFonts w:ascii="Arial" w:cs="Arial" w:eastAsia="Arial" w:hAnsi="Arial"/>
          <w:sz w:val="17"/>
          <w:szCs w:val="17"/>
          <w:color w:val="auto"/>
        </w:rPr>
        <w:t>) in connection with any Letter of Credit.</w:t>
      </w:r>
    </w:p>
    <w:p>
      <w:pPr>
        <w:spacing w:after="0" w:line="17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Related Person</w:t>
      </w:r>
      <w:r>
        <w:rPr>
          <w:rFonts w:ascii="Arial" w:cs="Arial" w:eastAsia="Arial" w:hAnsi="Arial"/>
          <w:sz w:val="18"/>
          <w:szCs w:val="18"/>
          <w:color w:val="auto"/>
        </w:rPr>
        <w:t>” means each member of the Lender Group (including each of each Issuing Lender and its branches, Affiliates, and correspondents and Canadian Underlying Issuer and its branches, Affiliates and correspondents) and each such Person’s respective directors, officers, employees, attorneys and agents.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$60,000,000.</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Usage</w:t>
      </w:r>
      <w:r>
        <w:rPr>
          <w:rFonts w:ascii="Arial" w:cs="Arial" w:eastAsia="Arial" w:hAnsi="Arial"/>
          <w:sz w:val="18"/>
          <w:szCs w:val="18"/>
          <w:color w:val="auto"/>
        </w:rPr>
        <w:t>” means the US Letter of Credit Usage, the UK Letter of Credit Usage and/or the Canadian Letter of Credit Usage, as the context requires.</w:t>
      </w:r>
    </w:p>
    <w:p>
      <w:pPr>
        <w:spacing w:after="0" w:line="17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means, as of any date of determination the result of (a) the amount of Parent’s Funded Indebtedness as of such date, to (b) Parent’s EBITDA for the 4 quarter period ended as of such date.</w:t>
      </w:r>
    </w:p>
    <w:p>
      <w:pPr>
        <w:spacing w:after="0" w:line="17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w:t>
      </w:r>
      <w:r>
        <w:rPr>
          <w:rFonts w:ascii="Arial" w:cs="Arial" w:eastAsia="Arial" w:hAnsi="Arial"/>
          <w:sz w:val="16"/>
          <w:szCs w:val="16"/>
          <w:color w:val="auto"/>
        </w:rPr>
        <w:t>” means the rate per annum as published by ICE Benchmark Administration Limited (or any successor page or other commercially available source as the Agent may designate from time to time) as of 11:00 a.m., London time, two Business Days prior to the commencement of the requested Interest Period (or, with respect to Obligations denominated in Sterling, as of 11:00 a.m., London time, on the Business Day on which the requested Interest Period commences) for deposits in the Applicable Currency, for a term, and in an amount, comparable to the Interest Period and the amount of the Non-Base Rate Loan requested (whether as an initial Non-Base Rate Loan or as a continuation of a Non-Base Rate Loan or as a conversion of a Base Rate Loan to a Non-Base Rate Loan) by Borrowers in accordance with the Agreement (and, if any such published rate is below zero, then such rate shall be deemed to be zero), which determination shall be made by Agent and shall be conclusive in the absence of manifest error.</w:t>
      </w:r>
    </w:p>
    <w:p>
      <w:pPr>
        <w:spacing w:after="0" w:line="167" w:lineRule="exact"/>
        <w:rPr>
          <w:sz w:val="20"/>
          <w:szCs w:val="20"/>
          <w:color w:val="auto"/>
        </w:rPr>
      </w:pPr>
    </w:p>
    <w:p>
      <w:pPr>
        <w:ind w:right="50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standard security, deed of trust, pledge, hypothecation, assignment, assignation,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5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Line Cap</w:t>
      </w:r>
      <w:r>
        <w:rPr>
          <w:rFonts w:ascii="Arial" w:cs="Arial" w:eastAsia="Arial" w:hAnsi="Arial"/>
          <w:sz w:val="18"/>
          <w:szCs w:val="18"/>
          <w:color w:val="auto"/>
        </w:rPr>
        <w:t>” means, as of any date of determination, the lesser of (a) the Maximum Revolver Amount, and (b) the sum of the Dollar Equivalent of the Canadian Borrowing Base (calculated without giving effect to clause (d) of the definition thereof) plus the UK Borrowing Base (calculated without giving effect to clause (d) of the definition thereof) plus the US Borrowing Base as of such date of determination.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55" w:name="page56"/>
    <w:bookmarkEnd w:id="5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Loan</w:t>
      </w:r>
      <w:r>
        <w:rPr>
          <w:rFonts w:ascii="Arial" w:cs="Arial" w:eastAsia="Arial" w:hAnsi="Arial"/>
          <w:sz w:val="18"/>
          <w:szCs w:val="18"/>
          <w:color w:val="auto"/>
        </w:rPr>
        <w:t>” means any Revolving Loan, Swing Loan or Extraordinary Advance made (or to be made) 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Account</w:t>
      </w:r>
      <w:r>
        <w:rPr>
          <w:rFonts w:ascii="Arial" w:cs="Arial" w:eastAsia="Arial" w:hAnsi="Arial"/>
          <w:sz w:val="18"/>
          <w:szCs w:val="18"/>
          <w:color w:val="auto"/>
        </w:rPr>
        <w:t>” means the US Loan Account, UK Loan Account and/or the Canadian Loan Account, as the context requires.</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Control Agreements, the US Copyright Security Agreement, the Canadian Copyright Security Agreement, any Borrowing Base Certificate, the Fee Letter, the US Security Agreement, the Canadian Security Documents, the UK Security Documents, the Intercompany Subordination Agreement, any Issuer Documents, the Letters of Credit, the Mortgages, the US Patent Security Agreement, the US Trademark Security Agreement, the Canadian Patent Security Agreement, the Canadian Trademark Security Agreement, any security trust deed, any guaranties executed by any Loan Party, any note or notes executed by Borrowers in connection with this Agreement and payable to any member of the Lender Group, and any other instrument or agreement entered into, now or in the future, by any Loan Party or any of its Subsidiaries and any member of the Lender Group in connection with this Agreement (but specifically excluding Bank Product Agreements).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US Loan Parties, UK Loan Parties and/or the Canadian Loan Parties, as the context requires.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as in effect from time to time.</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a material adverse effect in the business, property, or condition (financial or otherwise) of the Loan Parties and their Subsidiaries, taken as a whole, (b) a material impairment of the Loan Parties’ and their Subsidiaries’ ability to perform their obligations under the Loan Documents to which they are parties or of the Lender Group’s ability to enforce the Obligations or (other than as a result of an action taken or not taken that is solely in the control of Agent) realize upon the Collateral, or (c) a material impairment of the enforceability or priority of Agent’s Liens with respect to all or a material portion of the Collateral (other than as a result of an action taken or not taken that is solely in the control of Agent).</w:t>
      </w:r>
    </w:p>
    <w:p>
      <w:pPr>
        <w:spacing w:after="0" w:line="15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with respect to any Person, (a) each contract or agreement to which such Person or any of its Subsidiaries is a party involving aggregate consideration payable to or by such Person or such Subsidiary of $45,000,000 or more (other than purchase orders in the ordinary course of the business of such Person or such Subsidiary and other than contracts that by their terms may be terminated by such Person or Subsidiary in the ordinary course of its business upon less than 60 days’ notice without penalty or premium), and (b) all other contracts or agreements, the loss of which could reasonably be expected to result in a Material Adverse Effect.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April 30, 2023.</w:t>
      </w:r>
    </w:p>
    <w:p>
      <w:pPr>
        <w:spacing w:after="0" w:line="225"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Revolver Amount</w:t>
      </w:r>
      <w:r>
        <w:rPr>
          <w:rFonts w:ascii="Arial" w:cs="Arial" w:eastAsia="Arial" w:hAnsi="Arial"/>
          <w:sz w:val="16"/>
          <w:szCs w:val="16"/>
          <w:color w:val="auto"/>
        </w:rPr>
        <w:t xml:space="preserve">” means $750,000,000, decreased by the amount of reductions in the Revolver Commitments made in accordance with </w:t>
      </w:r>
      <w:r>
        <w:rPr>
          <w:rFonts w:ascii="Arial" w:cs="Arial" w:eastAsia="Arial" w:hAnsi="Arial"/>
          <w:sz w:val="16"/>
          <w:szCs w:val="16"/>
          <w:u w:val="single" w:color="auto"/>
          <w:color w:val="auto"/>
        </w:rPr>
        <w:t>Sections 2.4(c)</w:t>
      </w:r>
      <w:r>
        <w:rPr>
          <w:rFonts w:ascii="Arial" w:cs="Arial" w:eastAsia="Arial" w:hAnsi="Arial"/>
          <w:sz w:val="16"/>
          <w:szCs w:val="16"/>
          <w:color w:val="auto"/>
        </w:rPr>
        <w:t xml:space="preserve"> of this Agreement, and increased by the amount of any Increase made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this Agreement.</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74" w:right="29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has the meaning specified therefor in the definition of Domestic Cash Equivalents.</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means, individually and collectively, one or more mortgages, standard securities, deeds of trust, or deeds to secure debt, executed and delivered by a Loan Party or one of its Subsidiaries in favor of Agent, in form and substance reasonably satisfactory to Agent, that encumber the Real Property Collateral.</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multiemployer plan within the meaning of Section 3(37) or 4001(a)(3) of ERISA with respect to which any Loan Party or ERISA Affiliate has an obligation to contribute or has any liability, contingent or otherwise or could be assessed withdrawal liability assuming a complete withdrawal from any such multiemployer plan.</w:t>
      </w:r>
    </w:p>
    <w:p>
      <w:pPr>
        <w:spacing w:after="0" w:line="181" w:lineRule="exact"/>
        <w:rPr>
          <w:sz w:val="20"/>
          <w:szCs w:val="20"/>
          <w:color w:val="auto"/>
        </w:rPr>
      </w:pPr>
    </w:p>
    <w:p>
      <w:pPr>
        <w:jc w:val="both"/>
        <w:ind w:right="28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means, with respect to the Permitted Sale Leaseback, the amount of cash proceeds received (directly or indirectly) from time to time (whether as initial consideration or through the payment of deferred consideration) by or on behalf of such Loan Party or such Subsidiary, in connection therewith after deducting therefrom only (i) the amount of any Indebtedness secured by any Permitted Lien on any asset (other than</w:t>
      </w:r>
    </w:p>
    <w:p>
      <w:pPr>
        <w:ind w:firstLine="8"/>
        <w:spacing w:after="0" w:line="281" w:lineRule="auto"/>
        <w:tabs>
          <w:tab w:leader="none" w:pos="2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Indebtedness owing to Agent or any Lender under this Agreement or the other Loan Documents and (B) Indebtedness assumed by the purchaser of such asset) which is required to be, and is, repaid in connection with such sale or disposition, (ii) reasonable fees, commissions, and expenses related thereto and required to be paid by such Loan Party or such Subsidiary in connection with such sale or disposition, (iii) taxes paid or payable to any taxing authorities by such Loan Party or such Subsidiary in connection with such sale or disposition, in each case to the extent, but only to the extent, that the amounts so deducted are, at the time of receipt of such cash, actually paid or payable to a Person that is not an Affiliate of any Loan Party or any of its Subsidiaries, and are properly attributable to such transaction, and (iv) all amounts that are set aside as a reserve (A) for adjustments in respect of the purchase price of such assets,</w:t>
      </w:r>
    </w:p>
    <w:p>
      <w:pPr>
        <w:spacing w:after="0" w:line="4" w:lineRule="exact"/>
        <w:rPr>
          <w:rFonts w:ascii="Arial" w:cs="Arial" w:eastAsia="Arial" w:hAnsi="Arial"/>
          <w:sz w:val="16"/>
          <w:szCs w:val="16"/>
          <w:color w:val="auto"/>
        </w:rPr>
      </w:pPr>
    </w:p>
    <w:p>
      <w:pPr>
        <w:ind w:right="60" w:firstLine="8"/>
        <w:spacing w:after="0" w:line="292" w:lineRule="auto"/>
        <w:tabs>
          <w:tab w:leader="none" w:pos="2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for any liabilities associated with such sale or casualty, to the extent such reserve is required by GAAP, and (C) for the payment of unassumed liabilities relating to the assets sold or otherwise disposed of at the time of, or within 30 days after, the date of such sale or other disposition, to the extent that in each case the funds described above in this clause (iv) are (x) deposited into escrow with a third party escrow agent or set aside in a separate Deposit Account that is subject to a Control Agreement in favor of Agent, and (y) if applicable, paid to Agent as a prepayment of the applicable Obligations in accordance with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of this Agreement at such time when such amounts are no longer required to be set aside as such a reserve.</w:t>
      </w:r>
    </w:p>
    <w:p>
      <w:pPr>
        <w:spacing w:after="0" w:line="163"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Recovery Percentage</w:t>
      </w:r>
      <w:r>
        <w:rPr>
          <w:rFonts w:ascii="Arial" w:cs="Arial" w:eastAsia="Arial" w:hAnsi="Arial"/>
          <w:sz w:val="18"/>
          <w:szCs w:val="18"/>
          <w:color w:val="auto"/>
        </w:rPr>
        <w:t>” means, as of any date of determination, the percentage of the book value of Borrowers’ Inventory that is estimated to be recoverable in an orderly liquidation of such Inventory net of all associated costs and expenses of such liquidation, such percentage to be determined as to each category of Inventory and to be as specified in the most recent Acceptable Appraisal of Inventory.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57" w:name="page58"/>
    <w:bookmarkEnd w:id="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Non-Base Rate Deadline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2.12(b)(i)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Non-Base Notice</w:t>
      </w:r>
      <w:r>
        <w:rPr>
          <w:rFonts w:ascii="Arial" w:cs="Arial" w:eastAsia="Arial" w:hAnsi="Arial"/>
          <w:sz w:val="18"/>
          <w:szCs w:val="18"/>
          <w:color w:val="auto"/>
        </w:rPr>
        <w:t xml:space="preserve">” means a written notice in the form of </w:t>
      </w:r>
      <w:r>
        <w:rPr>
          <w:rFonts w:ascii="Arial" w:cs="Arial" w:eastAsia="Arial" w:hAnsi="Arial"/>
          <w:sz w:val="18"/>
          <w:szCs w:val="18"/>
          <w:u w:val="single" w:color="auto"/>
          <w:color w:val="auto"/>
        </w:rPr>
        <w:t>Exhibit L-1</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Non-Base Option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Non-Base Rate</w:t>
      </w:r>
      <w:r>
        <w:rPr>
          <w:rFonts w:ascii="Arial" w:cs="Arial" w:eastAsia="Arial" w:hAnsi="Arial"/>
          <w:sz w:val="18"/>
          <w:szCs w:val="18"/>
          <w:color w:val="auto"/>
        </w:rPr>
        <w:t xml:space="preserve">” means the LIBOR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Canadian Obligations denominated in Canadian Dollars, Non-Base Rate means the CDOR Rate.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Non-Base Rate Loan</w:t>
      </w:r>
      <w:r>
        <w:rPr>
          <w:rFonts w:ascii="Arial" w:cs="Arial" w:eastAsia="Arial" w:hAnsi="Arial"/>
          <w:sz w:val="16"/>
          <w:szCs w:val="16"/>
          <w:color w:val="auto"/>
        </w:rPr>
        <w:t>” means each portion of a Revolving Loan that bears interest at a rate determined by reference to the applicable Non-Base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Non-Base Rate Margin</w:t>
      </w:r>
      <w:r>
        <w:rPr>
          <w:rFonts w:ascii="Arial" w:cs="Arial" w:eastAsia="Arial" w:hAnsi="Arial"/>
          <w:sz w:val="18"/>
          <w:szCs w:val="18"/>
          <w:color w:val="auto"/>
        </w:rPr>
        <w:t>” has the meaning set forth in the definition of Applicable Margin.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each Lender other than a Defaulting Lender.</w:t>
      </w:r>
    </w:p>
    <w:p>
      <w:pPr>
        <w:spacing w:after="0" w:line="225"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Notification Event</w:t>
      </w:r>
      <w:r>
        <w:rPr>
          <w:rFonts w:ascii="Arial" w:cs="Arial" w:eastAsia="Arial" w:hAnsi="Arial"/>
          <w:sz w:val="17"/>
          <w:szCs w:val="17"/>
          <w:color w:val="auto"/>
        </w:rPr>
        <w:t>” means (a) the occurrence of a “reportable event” described in Section 4043 of ERISA for which the 30-day notice requirement has not been waived by applicable regulations issued by the PBGC, (b) the withdrawal of any Loan Party or ERISA Affiliate from a Pension Plan during a plan year in which it was a “substantial employer” as defined in Section 4001(a)(2) of ERISA, (c) the termination of a Pension Plan, the filing of a notice of intent to terminate a Pension Plan or the treatment of a Pension Plan amendment as a termination, under Section 4041 of ERISA, if the plan assets are not sufficient to pay all plan liabilities, (d) the institution of proceedings to terminate, or the appointment of a trustee with respect to, any Pension Plan by the PBGC, (e) the imposition of a Lien pursuant to the IRC or ERISA in connection with any Pension Plan, (f) the partial or complete withdrawal of any Loan Party or ERISA Affiliate from a Multiemployer Plan (other than any withdrawal that would not constitute a Material Adverse Effect), (g) the insolvency of a Multiemployer Plan under ERISA, (h) the termination of a Multiemployer Plan under Section 4041A of ERISA or the institution by the PBGC of proceedings to terminate or to appoint a trustee to administer a Multiemployer Plan under ERISA, (i) any Pension Plan being in “at risk status” within the meaning of IRC Section 430(i), (j) any Multiemployer Plan being in “endangered status” or “critical status” within the meaning of IRC Section 432(b), (k) with respect to any Pension Plan, any Loan Party or ERISA Affiliate incurring a substantial cessation of operations within the meaning of ERISA Section 4062(e), (l) the failure of any Pension Plan to meet the minimum funding standards within the meaning of the IRC or ERISA (including Section 412 of the IRC or Section 302 of ERISA), in each case, whether or not waived, (m) the filing of an application for a waiver of the minimum funding standards within the meaning of the IRC or ERISA including Section 412 of the IRC or Section 302 of ERISA) with respect to any Pension Plan, (n) the failure to make by its due date a required payment or contribution with respect to any Pension Plan or Multiemployer Plan, or (o) any event that results in or could reasonably be expected to result in a liability by a Loan Party pursuant to Title I of ERISA or the excise tax provisions of the IRC relating to Employee Plans or any event that results in or could reasonably be expected to result in a liability to any Loan Party pursuant to Title IV of ERISA (other than the payment of premiums to the be PBGC in the ordinary course of business).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8" w:name="page59"/>
    <w:bookmarkEnd w:id="5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any or all of the US Obligations, the UK Obligations and/or the Canadian Obligations, as the context requires.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13.1(e)</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means a US Overadvance, UK Overadvance and/or a Canadian Overadvance, as the context requires.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13.1(e)</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Pass-Through Tax Liabilities</w:t>
      </w:r>
      <w:r>
        <w:rPr>
          <w:rFonts w:ascii="Arial" w:cs="Arial" w:eastAsia="Arial" w:hAnsi="Arial"/>
          <w:sz w:val="16"/>
          <w:szCs w:val="16"/>
          <w:color w:val="auto"/>
        </w:rPr>
        <w:t>” means with respect to any Borrower that is a disregarded entity or partnership for U.S. federal income tax purposes for the applicable taxable period, the amount of state, local and federal income tax paid or required to be paid under applicable law by the owner or owners of any Equity Interest in such Borrower on taxable income earned by such Borrower, assuming the highest marginal income tax rate for federal, state and local (for the state or states in which any owner of an Equity Interest in such Borrower is liable for income taxes with respect to such income) income tax purposes, after taking into account any deductions or credits that are eligible to offset such taxable income and that are available to such owner of such Equity Interest from or through such Borrower, including deductions and credits for prior taxable periods after the date hereof.</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this Agreement.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Payment Conditions</w:t>
      </w:r>
      <w:r>
        <w:rPr>
          <w:rFonts w:ascii="Arial" w:cs="Arial" w:eastAsia="Arial" w:hAnsi="Arial"/>
          <w:sz w:val="18"/>
          <w:szCs w:val="18"/>
          <w:color w:val="auto"/>
        </w:rPr>
        <w:t>” means, at the time of determination with respect to a proposed payment to fund a Specified Transaction, that:</w:t>
      </w:r>
    </w:p>
    <w:p>
      <w:pPr>
        <w:spacing w:after="0" w:line="117" w:lineRule="exact"/>
        <w:rPr>
          <w:sz w:val="20"/>
          <w:szCs w:val="20"/>
          <w:color w:val="auto"/>
        </w:rPr>
      </w:pPr>
    </w:p>
    <w:p>
      <w:pPr>
        <w:ind w:left="1160" w:hanging="239"/>
        <w:spacing w:after="0"/>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Default or Event of Default then exists or would arise as a result of the consummation of such Specified Transaction,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2"/>
          <w:numId w:val="33"/>
        </w:numPr>
        <w:rPr>
          <w:rFonts w:ascii="Arial" w:cs="Arial" w:eastAsia="Arial" w:hAnsi="Arial"/>
          <w:sz w:val="16"/>
          <w:szCs w:val="16"/>
          <w:color w:val="auto"/>
        </w:rPr>
      </w:pPr>
      <w:r>
        <w:rPr>
          <w:rFonts w:ascii="Arial" w:cs="Arial" w:eastAsia="Arial" w:hAnsi="Arial"/>
          <w:sz w:val="16"/>
          <w:szCs w:val="16"/>
          <w:color w:val="auto"/>
        </w:rPr>
        <w:t>Aggregate Excess Availability after giving effect to such proposed payment and Specified Transaction, in each case, is not less than</w:t>
      </w:r>
    </w:p>
    <w:p>
      <w:pPr>
        <w:spacing w:after="0" w:line="46" w:lineRule="exact"/>
        <w:rPr>
          <w:rFonts w:ascii="Arial" w:cs="Arial" w:eastAsia="Arial" w:hAnsi="Arial"/>
          <w:sz w:val="16"/>
          <w:szCs w:val="16"/>
          <w:color w:val="auto"/>
        </w:rPr>
      </w:pPr>
    </w:p>
    <w:p>
      <w:pPr>
        <w:ind w:left="300" w:hanging="292"/>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case of a Specified Transaction consisting of a Permitted Acquisition or prepayment of Indebtedness, the greater of (1) 17.5% of the Line Cap, and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(2) $80,000,000, and (B) in the case of a Specified Transaction consisting of a Restricted Payment, a Permitted Investment of the type described in clause</w:t>
      </w:r>
    </w:p>
    <w:p>
      <w:pPr>
        <w:spacing w:after="0" w:line="32"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(s) of the definition thereof or a Permitted Intercompany Advance of the type described in clause (e) of the definition thereof, the greater of (1) 20.0% of the Line Cap, and (2) $90,000,000, or</w:t>
      </w:r>
    </w:p>
    <w:p>
      <w:pPr>
        <w:spacing w:after="0" w:line="75" w:lineRule="exact"/>
        <w:rPr>
          <w:rFonts w:ascii="Arial" w:cs="Arial" w:eastAsia="Arial" w:hAnsi="Arial"/>
          <w:sz w:val="16"/>
          <w:szCs w:val="16"/>
          <w:color w:val="auto"/>
        </w:rPr>
      </w:pPr>
    </w:p>
    <w:p>
      <w:pPr>
        <w:ind w:firstLine="1492"/>
        <w:spacing w:after="0" w:line="270" w:lineRule="auto"/>
        <w:tabs>
          <w:tab w:leader="none" w:pos="1748" w:val="left"/>
        </w:tabs>
        <w:numPr>
          <w:ilvl w:val="2"/>
          <w:numId w:val="34"/>
        </w:numPr>
        <w:rPr>
          <w:rFonts w:ascii="Arial" w:cs="Arial" w:eastAsia="Arial" w:hAnsi="Arial"/>
          <w:sz w:val="17"/>
          <w:szCs w:val="17"/>
          <w:color w:val="auto"/>
        </w:rPr>
      </w:pPr>
      <w:r>
        <w:rPr>
          <w:rFonts w:ascii="Arial" w:cs="Arial" w:eastAsia="Arial" w:hAnsi="Arial"/>
          <w:sz w:val="17"/>
          <w:szCs w:val="17"/>
          <w:color w:val="auto"/>
        </w:rPr>
        <w:t xml:space="preserve">both (A) the Fixed Charge Coverage Ratio of the Loan Parties and their Subsidiaries is equal to or greater than 1.00:1.00 for the trailing 4 quarter period most recently ended for which financial statements are required to have been delivered to Agent pursuant to </w:t>
      </w:r>
      <w:r>
        <w:rPr>
          <w:rFonts w:ascii="Arial" w:cs="Arial" w:eastAsia="Arial" w:hAnsi="Arial"/>
          <w:sz w:val="17"/>
          <w:szCs w:val="17"/>
          <w:u w:val="single" w:color="auto"/>
          <w:color w:val="auto"/>
        </w:rPr>
        <w:t>Schedule 5.1</w:t>
      </w:r>
      <w:r>
        <w:rPr>
          <w:rFonts w:ascii="Arial" w:cs="Arial" w:eastAsia="Arial" w:hAnsi="Arial"/>
          <w:sz w:val="17"/>
          <w:szCs w:val="17"/>
          <w:color w:val="auto"/>
        </w:rPr>
        <w:t xml:space="preserve"> to this Agreement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proposed payment (other than consideration paid for a Permitted Acquisition) is a Fixed Charge made on the last day of such 4 quarter period (it being understood that such proposed payment (other than consideration paid for a Permitted Acquisition) shall also be a Fixed Charge made on the last day of such 4 quarter period for purposes of calculating the Fixed Charge Coverage Ratio under this clause (ii) for any subsequent proposed payment to fund a Specific Transaction)), and (B) Aggregate Excess Availability after giving effect to such proposed payment and Specified Transaction, in each case, is not less than (1) in the case of a Specified Transaction consisting of a Permitted Acquisition or prepayment of Indebtedness, the greater of (X) 12.5% of the Line Cap, and (Y) $60,000,000, or (2) in the case of a Specified Transaction consisting of a Restricted Payment, a Permitted Investment of the type described in clause (s) of the definition thereof or a Permitted Intercompany Advance of the type described in clause (e) of the definition thereof, the greater of (X) 15% of the Line Cap, and (Y) $70,000,000, and</w:t>
      </w:r>
    </w:p>
    <w:p>
      <w:pPr>
        <w:spacing w:after="0" w:line="69" w:lineRule="exact"/>
        <w:rPr>
          <w:rFonts w:ascii="Arial" w:cs="Arial" w:eastAsia="Arial" w:hAnsi="Arial"/>
          <w:sz w:val="17"/>
          <w:szCs w:val="17"/>
          <w:color w:val="auto"/>
        </w:rPr>
      </w:pPr>
    </w:p>
    <w:p>
      <w:pPr>
        <w:ind w:left="1160" w:hanging="239"/>
        <w:spacing w:after="0"/>
        <w:tabs>
          <w:tab w:leader="none" w:pos="11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Administrative Borrower has delivered a certificate to Agent certifying that all conditions described in clauses (a) and (b) above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agency.</w:t>
      </w:r>
    </w:p>
    <w:p>
      <w:pPr>
        <w:spacing w:after="0" w:line="225"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Plan, other than a Multiemployer Plan, which is subject to the provisions of Title IV or Section 302 of ERISA or Sections 412 or 430 of the IRC sponsored, maintained, or contributed to by any Loan Party or ERISA Affiliate or to which any Loan Party or ERISA Affiliate has any liability, contingent or otherwise.</w:t>
      </w:r>
    </w:p>
    <w:p>
      <w:pPr>
        <w:spacing w:after="0" w:line="181" w:lineRule="exact"/>
        <w:rPr>
          <w:sz w:val="20"/>
          <w:szCs w:val="20"/>
          <w:color w:val="auto"/>
        </w:rPr>
      </w:pPr>
    </w:p>
    <w:p>
      <w:pPr>
        <w:jc w:val="center"/>
        <w:ind w:left="400" w:right="7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Pensions Regulator</w:t>
      </w:r>
      <w:r>
        <w:rPr>
          <w:rFonts w:ascii="Arial" w:cs="Arial" w:eastAsia="Arial" w:hAnsi="Arial"/>
          <w:sz w:val="18"/>
          <w:szCs w:val="18"/>
          <w:color w:val="auto"/>
        </w:rPr>
        <w:t>” means the body corporate called the Pensions Regulator established under Part I of the Pensions Act 2004 (UK). -49-</w:t>
      </w:r>
    </w:p>
    <w:p>
      <w:pPr>
        <w:sectPr>
          <w:pgSz w:w="11900" w:h="16838" w:orient="portrait"/>
          <w:cols w:equalWidth="0" w:num="1">
            <w:col w:w="11380"/>
          </w:cols>
          <w:pgMar w:left="240" w:top="274" w:right="279" w:bottom="1440" w:gutter="0" w:footer="0" w:header="0"/>
        </w:sectPr>
      </w:pPr>
    </w:p>
    <w:bookmarkStart w:id="60" w:name="page61"/>
    <w:bookmarkEnd w:id="6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P-1</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made by Parent or a Subsidiary that is a Loan Party so long as:</w:t>
      </w:r>
    </w:p>
    <w:p>
      <w:pPr>
        <w:spacing w:after="0" w:line="117" w:lineRule="exact"/>
        <w:rPr>
          <w:sz w:val="20"/>
          <w:szCs w:val="20"/>
          <w:color w:val="auto"/>
        </w:rPr>
      </w:pPr>
    </w:p>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proposed Acquisition is consensual,</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Payment Conditions are satisfied,</w:t>
      </w:r>
    </w:p>
    <w:p>
      <w:pPr>
        <w:spacing w:after="0" w:line="117" w:lineRule="exact"/>
        <w:rPr>
          <w:rFonts w:ascii="Arial" w:cs="Arial" w:eastAsia="Arial" w:hAnsi="Arial"/>
          <w:sz w:val="18"/>
          <w:szCs w:val="18"/>
          <w:color w:val="auto"/>
        </w:rPr>
      </w:pPr>
    </w:p>
    <w:p>
      <w:pPr>
        <w:ind w:firstLine="921"/>
        <w:spacing w:after="0" w:line="273" w:lineRule="auto"/>
        <w:tabs>
          <w:tab w:leader="none" w:pos="115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 respect to any Permitted Acquisition (or series of related Permitted Acquisitions) for which the purchase consideration payable (including deferred payment obligations) in connection therewith exceeds $100,000,000 in the aggregate, Borrowers have provided Agent with its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one year period following the date of the proposed Acquisition, on a quarter by quarter basis), in form and substance (including as to scope and underlying assumptions) reasonably satisfactory to Agent,</w:t>
      </w:r>
    </w:p>
    <w:p>
      <w:pPr>
        <w:spacing w:after="0" w:line="70" w:lineRule="exact"/>
        <w:rPr>
          <w:rFonts w:ascii="Arial" w:cs="Arial" w:eastAsia="Arial" w:hAnsi="Arial"/>
          <w:sz w:val="17"/>
          <w:szCs w:val="17"/>
          <w:color w:val="auto"/>
        </w:rPr>
      </w:pPr>
    </w:p>
    <w:p>
      <w:pPr>
        <w:ind w:right="20" w:firstLine="921"/>
        <w:spacing w:after="0" w:line="276" w:lineRule="auto"/>
        <w:tabs>
          <w:tab w:leader="none" w:pos="11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 respect to any Permitted Acquisition (or series of related Permitted Acquisitions) for which the purchase consideration payable (including deferred payment obligations) in connection therewith exceeds $100,000,000 in the aggregate, Borrowers have provided Agent with written notice of the proposed Acquisition at least 15 Business Days prior to the anticipated closing date of the proposed Acquisition and, not later than five Business Days prior to the anticipated closing date of the proposed Acquisition, copies of the acquisition agreement and other material documents relative to the proposed Acquisition, which agreement and documents must be reasonably acceptable to Agent, and</w:t>
      </w:r>
    </w:p>
    <w:p>
      <w:pPr>
        <w:spacing w:after="0" w:line="64" w:lineRule="exact"/>
        <w:rPr>
          <w:rFonts w:ascii="Arial" w:cs="Arial" w:eastAsia="Arial" w:hAnsi="Arial"/>
          <w:sz w:val="17"/>
          <w:szCs w:val="17"/>
          <w:color w:val="auto"/>
        </w:rPr>
      </w:pPr>
    </w:p>
    <w:p>
      <w:pPr>
        <w:jc w:val="both"/>
        <w:ind w:right="360" w:firstLine="921"/>
        <w:spacing w:after="0" w:line="264" w:lineRule="auto"/>
        <w:tabs>
          <w:tab w:leader="none" w:pos="11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assets being acquired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assets in relation to Parent’s and its Subsidiaries’ total assets), or the Person whose Equity Interests are being acquired, are useful in or engaged in, as applicable, the business of the Loan Parties and their Subsidiaries or a business reasonably related thereto.</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Discretion</w:t>
      </w:r>
      <w:r>
        <w:rPr>
          <w:rFonts w:ascii="Arial" w:cs="Arial" w:eastAsia="Arial" w:hAnsi="Arial"/>
          <w:sz w:val="16"/>
          <w:szCs w:val="16"/>
          <w:color w:val="auto"/>
        </w:rPr>
        <w:t>” means a determination made in the exercise of reasonable (from the perspective of a secured asset-based lender)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judgment.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Dispositions</w:t>
      </w:r>
      <w:r>
        <w:rPr>
          <w:rFonts w:ascii="Arial" w:cs="Arial" w:eastAsia="Arial" w:hAnsi="Arial"/>
          <w:sz w:val="18"/>
          <w:szCs w:val="18"/>
          <w:color w:val="auto"/>
        </w:rPr>
        <w:t>” means:</w:t>
      </w:r>
    </w:p>
    <w:p>
      <w:pPr>
        <w:spacing w:after="0" w:line="117" w:lineRule="exact"/>
        <w:rPr>
          <w:sz w:val="20"/>
          <w:szCs w:val="20"/>
          <w:color w:val="auto"/>
        </w:rPr>
      </w:pPr>
    </w:p>
    <w:p>
      <w:pPr>
        <w:ind w:right="320" w:firstLine="921"/>
        <w:spacing w:after="0" w:line="342" w:lineRule="auto"/>
        <w:tabs>
          <w:tab w:leader="none" w:pos="1158"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abandonment, or other dispositions of Equipment that is substantially worn, damaged, or obsolete or no longer used or useful in the ordinary course of business and leases or subleases of Real Property not useful in the conduct of the business of the Loan Parties and their Subsidiaries,</w:t>
      </w:r>
    </w:p>
    <w:p>
      <w:pPr>
        <w:spacing w:after="0" w:line="15" w:lineRule="exact"/>
        <w:rPr>
          <w:rFonts w:ascii="Arial" w:cs="Arial" w:eastAsia="Arial" w:hAnsi="Arial"/>
          <w:sz w:val="16"/>
          <w:szCs w:val="16"/>
          <w:color w:val="auto"/>
        </w:rPr>
      </w:pPr>
    </w:p>
    <w:p>
      <w:pPr>
        <w:ind w:left="1180" w:hanging="25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Inventory to buyers in the ordinary course of business,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61" w:name="page62"/>
    <w:bookmarkEnd w:id="61"/>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the use or transfer of money or Cash Equivalents in a manner that is not prohibited by the terms of this Agreement or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 the licensing, on a non-exclusive basis, of patents, trademarks, copyrights, and other intellectual property rights in the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03" w:lineRule="exact"/>
        <w:rPr>
          <w:sz w:val="20"/>
          <w:szCs w:val="20"/>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granting of Permitted Liens,</w:t>
      </w:r>
    </w:p>
    <w:p>
      <w:pPr>
        <w:spacing w:after="0" w:line="117" w:lineRule="exact"/>
        <w:rPr>
          <w:rFonts w:ascii="Arial" w:cs="Arial" w:eastAsia="Arial" w:hAnsi="Arial"/>
          <w:sz w:val="18"/>
          <w:szCs w:val="18"/>
          <w:color w:val="auto"/>
        </w:rPr>
      </w:pPr>
    </w:p>
    <w:p>
      <w:pPr>
        <w:ind w:right="220" w:firstLine="921"/>
        <w:spacing w:after="0" w:line="277" w:lineRule="auto"/>
        <w:tabs>
          <w:tab w:leader="none" w:pos="11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sale or discount, in each case without recourse, of accounts receivable (other than Eligible Accounts) arising in the ordinary course of business, but only in connection with the compromise or collection thereof,</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involuntary loss, damage or destruction of property,</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involuntary condemnation, seizure or taking, by exercise of the power of eminent domain or otherwise, or confiscation or requisition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use of property,</w:t>
      </w:r>
    </w:p>
    <w:p>
      <w:pPr>
        <w:spacing w:after="0" w:line="102" w:lineRule="exact"/>
        <w:rPr>
          <w:rFonts w:ascii="Arial" w:cs="Arial" w:eastAsia="Arial" w:hAnsi="Arial"/>
          <w:sz w:val="16"/>
          <w:szCs w:val="16"/>
          <w:color w:val="auto"/>
        </w:rPr>
      </w:pPr>
    </w:p>
    <w:p>
      <w:pPr>
        <w:ind w:left="1140" w:hanging="219"/>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leasing or subleasing of assets of any Loan Party or its Subsidiaries in the ordinary course of business,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sale or issuance of Equity Interests (other than Disqualified Equity Interests) of Parent,</w:t>
      </w:r>
    </w:p>
    <w:p>
      <w:pPr>
        <w:spacing w:after="0" w:line="117" w:lineRule="exact"/>
        <w:rPr>
          <w:rFonts w:ascii="Arial" w:cs="Arial" w:eastAsia="Arial" w:hAnsi="Arial"/>
          <w:sz w:val="18"/>
          <w:szCs w:val="18"/>
          <w:color w:val="auto"/>
        </w:rPr>
      </w:pPr>
    </w:p>
    <w:p>
      <w:pPr>
        <w:ind w:right="100" w:firstLine="921"/>
        <w:spacing w:after="0" w:line="279" w:lineRule="auto"/>
        <w:tabs>
          <w:tab w:leader="none" w:pos="11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the lapse of registered patents, trademarks, copyrights and other intellectual property of any Loan Party or any of its Subsidiaries to the extent not economically desirable in the conduct of its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Lender Group,</w:t>
      </w:r>
    </w:p>
    <w:p>
      <w:pPr>
        <w:spacing w:after="0" w:line="63" w:lineRule="exact"/>
        <w:rPr>
          <w:rFonts w:ascii="Arial" w:cs="Arial" w:eastAsia="Arial" w:hAnsi="Arial"/>
          <w:sz w:val="17"/>
          <w:szCs w:val="17"/>
          <w:color w:val="auto"/>
        </w:rPr>
      </w:pPr>
    </w:p>
    <w:p>
      <w:pPr>
        <w:ind w:left="1140" w:hanging="219"/>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making of Restricted Payments that are expressly permitted to be made pursuant to this Agreement,</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making of Permitted Investments,</w:t>
      </w:r>
    </w:p>
    <w:p>
      <w:pPr>
        <w:spacing w:after="0" w:line="117" w:lineRule="exact"/>
        <w:rPr>
          <w:rFonts w:ascii="Arial" w:cs="Arial" w:eastAsia="Arial" w:hAnsi="Arial"/>
          <w:sz w:val="18"/>
          <w:szCs w:val="18"/>
          <w:color w:val="auto"/>
        </w:rPr>
      </w:pPr>
    </w:p>
    <w:p>
      <w:pPr>
        <w:ind w:right="40" w:firstLine="921"/>
        <w:spacing w:after="0" w:line="257" w:lineRule="auto"/>
        <w:tabs>
          <w:tab w:leader="none" w:pos="1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 long as no Event of Default would immediately result therefrom, transfers of assets (including Equity Interests) (i) from any US Loan Party or any of its Subsidiaries (other than any US Borrower) to a US Loan Party (other than Parent), (ii) from any Canadian Loan Party or any of its Subsidiaries (other than any Canadian Borrower) to a Canadian Loan Party, (iii) from any UK Loan Party or any of its Subsidiaries (other than any UK Borrower) to a UK Loan Party and (iv) from any Subsidiary of any Loan Party that is not a Loan Party to a Loan Party or any other Subsidiary of any Loan Party,</w:t>
      </w:r>
    </w:p>
    <w:p>
      <w:pPr>
        <w:spacing w:after="0" w:line="80" w:lineRule="exact"/>
        <w:rPr>
          <w:rFonts w:ascii="Arial" w:cs="Arial" w:eastAsia="Arial" w:hAnsi="Arial"/>
          <w:sz w:val="18"/>
          <w:szCs w:val="18"/>
          <w:color w:val="auto"/>
        </w:rPr>
      </w:pPr>
    </w:p>
    <w:p>
      <w:pPr>
        <w:ind w:left="1180" w:hanging="259"/>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transfers of properties that have been subject to a casualty event, to the insurer of such property or its designee as part of an insurance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settlement,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274" w:right="419" w:bottom="1440" w:gutter="0" w:footer="0" w:header="0"/>
        </w:sectPr>
      </w:pPr>
    </w:p>
    <w:bookmarkStart w:id="62" w:name="page63"/>
    <w:bookmarkEnd w:id="62"/>
    <w:p>
      <w:pPr>
        <w:ind w:right="60" w:firstLine="921"/>
        <w:spacing w:after="0" w:line="277"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no Event of Default has occurred and is continuing or would immediately result therefrom, sales, transfers or other dispositions by the Borrowers or any of their Subsidiaries of Equity Interest in joint ventures held by the Borrowers or any of their Subsidiaries,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Permitted Sale Leaseback,</w:t>
      </w:r>
    </w:p>
    <w:p>
      <w:pPr>
        <w:spacing w:after="0" w:line="117" w:lineRule="exact"/>
        <w:rPr>
          <w:rFonts w:ascii="Arial" w:cs="Arial" w:eastAsia="Arial" w:hAnsi="Arial"/>
          <w:sz w:val="18"/>
          <w:szCs w:val="18"/>
          <w:color w:val="auto"/>
        </w:rPr>
      </w:pPr>
    </w:p>
    <w:p>
      <w:pPr>
        <w:ind w:right="240" w:firstLine="921"/>
        <w:spacing w:after="0" w:line="286" w:lineRule="auto"/>
        <w:tabs>
          <w:tab w:leader="none" w:pos="1138"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dispositions of Equipment or Real Property to the extent that (i) such property is exchanged for credit against the purchase price of similar replacement property, or (ii) the proceeds of such disposition are promptly applied to the purchase price of such replacement property;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the property being transferred constitutes Collateral, such replacement property shall constitute Collateral,</w:t>
      </w:r>
    </w:p>
    <w:p>
      <w:pPr>
        <w:spacing w:after="0" w:line="57" w:lineRule="exact"/>
        <w:rPr>
          <w:rFonts w:ascii="Arial" w:cs="Arial" w:eastAsia="Arial" w:hAnsi="Arial"/>
          <w:sz w:val="17"/>
          <w:szCs w:val="17"/>
          <w:color w:val="auto"/>
        </w:rPr>
      </w:pPr>
    </w:p>
    <w:p>
      <w:pPr>
        <w:jc w:val="both"/>
        <w:ind w:firstLine="921"/>
        <w:spacing w:after="0" w:line="302" w:lineRule="auto"/>
        <w:tabs>
          <w:tab w:leader="none" w:pos="11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dispositions of assets acquired by the Loan Parties and their Subsidiaries pursuant to a Permitted Acquisition consummated within 12 months of the date of the proposed disposition so long as (i) the consideration received for the assets to be so disposed is at least equal to the fair market value of such assets, (ii) the assets to be so disposed are not necessary or economically desirable in connection with the business of the Loan Parties and their Subsidiaries, and (iii) the assets to be so disposed are readily identifiable as assets acquired pursuant to the subject Permitted Acquisition,</w:t>
      </w:r>
    </w:p>
    <w:p>
      <w:pPr>
        <w:spacing w:after="0" w:line="46" w:lineRule="exact"/>
        <w:rPr>
          <w:rFonts w:ascii="Arial" w:cs="Arial" w:eastAsia="Arial" w:hAnsi="Arial"/>
          <w:sz w:val="16"/>
          <w:szCs w:val="16"/>
          <w:color w:val="auto"/>
        </w:rPr>
      </w:pPr>
    </w:p>
    <w:p>
      <w:pPr>
        <w:ind w:left="1140" w:hanging="219"/>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disposition of Equity Interests in Dura Products, Inc., to another Loan Party; and</w:t>
      </w:r>
    </w:p>
    <w:p>
      <w:pPr>
        <w:spacing w:after="0" w:line="117" w:lineRule="exact"/>
        <w:rPr>
          <w:rFonts w:ascii="Arial" w:cs="Arial" w:eastAsia="Arial" w:hAnsi="Arial"/>
          <w:sz w:val="18"/>
          <w:szCs w:val="18"/>
          <w:color w:val="auto"/>
        </w:rPr>
      </w:pPr>
    </w:p>
    <w:p>
      <w:pPr>
        <w:ind w:firstLine="921"/>
        <w:spacing w:after="0" w:line="271" w:lineRule="auto"/>
        <w:tabs>
          <w:tab w:leader="none" w:pos="1168" w:val="left"/>
        </w:tabs>
        <w:numPr>
          <w:ilvl w:val="0"/>
          <w:numId w:val="38"/>
        </w:numPr>
        <w:rPr>
          <w:rFonts w:ascii="Arial" w:cs="Arial" w:eastAsia="Arial" w:hAnsi="Arial"/>
          <w:sz w:val="17"/>
          <w:szCs w:val="17"/>
          <w:color w:val="auto"/>
        </w:rPr>
      </w:pPr>
      <w:r>
        <w:rPr>
          <w:rFonts w:ascii="Arial" w:cs="Arial" w:eastAsia="Arial" w:hAnsi="Arial"/>
          <w:sz w:val="17"/>
          <w:szCs w:val="17"/>
          <w:color w:val="auto"/>
        </w:rPr>
        <w:t>sales or other dispositions of assets not otherwise permitted in clauses (a) through (t) above (other than sales or other dispositions of Accounts in connection with securitization or factoring arrangements), so long as (i) no Event of Default has occurred and is continuing or would immediately result therefrom, (ii) each such sale or disposition is in an arm’s-length transaction and the applicable Loan Party or its Subsidiary receives at least the fair market value of the assets so disposed, (iii) the consideration received by the applicable Loan Party or its Subsidiary consists of at least 75% cash and Cash Equivalents and is paid at the time of the closing of such sale or disposition, and (iv) the aggregate amount of the cash and non-cash proceeds received from all assets sold or disposed of pursuant to this clause (t) shall not exceed $25,000,000 (or, so long as after giving effect to such proposed sale or other disposition, no Covenant Trigger Event shall have occurred and be continuing (and no Covenant Testing Period is otherwise then in effect), $50,000,000) in any fiscal year of Parent (for this purpose, using the fair market value of property other than cash);</w:t>
      </w:r>
    </w:p>
    <w:p>
      <w:pPr>
        <w:spacing w:after="0" w:line="71"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if, as of any date of determination, sales or dispositions by the Loan Parties during the period of time from the first day of the month in which such date of determination occurs until such date of determination, either individually or in the aggregate, involve $5,000,000 or more of assets included in the Borrowing Base (based on the fair market value of the assets so disposed) (the “</w:t>
      </w:r>
      <w:r>
        <w:rPr>
          <w:rFonts w:ascii="Arial" w:cs="Arial" w:eastAsia="Arial" w:hAnsi="Arial"/>
          <w:sz w:val="16"/>
          <w:szCs w:val="16"/>
          <w:u w:val="single" w:color="auto"/>
          <w:color w:val="auto"/>
        </w:rPr>
        <w:t>Threshold Amount</w:t>
      </w:r>
      <w:r>
        <w:rPr>
          <w:rFonts w:ascii="Arial" w:cs="Arial" w:eastAsia="Arial" w:hAnsi="Arial"/>
          <w:sz w:val="16"/>
          <w:szCs w:val="16"/>
          <w:color w:val="auto"/>
        </w:rPr>
        <w:t>”), then Borrowers shall have, prior to consummation of the sale or disposition that causes the assets included in the Borrowing that are disposed of during such period to exceed the Threshold Amount, delivered to Agent an updated Borrowing Base Certificate that reflects the removal of the applicable assets from the Borrowing Base.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63" w:name="page64"/>
    <w:bookmarkEnd w:id="6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means:</w:t>
      </w:r>
    </w:p>
    <w:p>
      <w:pPr>
        <w:spacing w:after="0" w:line="117" w:lineRule="exact"/>
        <w:rPr>
          <w:sz w:val="20"/>
          <w:szCs w:val="20"/>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in respect of the Obligations other than Bank Product Obligations,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Indebtedness as of the Closing Date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xml:space="preserve"> to this Agreement and any Refinancing Indebtedness in respect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102" w:lineRule="exact"/>
        <w:rPr>
          <w:rFonts w:ascii="Arial" w:cs="Arial" w:eastAsia="Arial" w:hAnsi="Arial"/>
          <w:sz w:val="17"/>
          <w:szCs w:val="17"/>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Permitted Purchase Money Indebtedness and any Refinancing Indebtedness in respect of such Indebtedness,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arising in connection with the endorsement of instruments or other payment items for deposit,</w:t>
      </w:r>
    </w:p>
    <w:p>
      <w:pPr>
        <w:spacing w:after="0" w:line="117" w:lineRule="exact"/>
        <w:rPr>
          <w:rFonts w:ascii="Arial" w:cs="Arial" w:eastAsia="Arial" w:hAnsi="Arial"/>
          <w:sz w:val="18"/>
          <w:szCs w:val="18"/>
          <w:color w:val="auto"/>
        </w:rPr>
      </w:pPr>
    </w:p>
    <w:p>
      <w:pPr>
        <w:jc w:val="both"/>
        <w:ind w:right="60" w:firstLine="921"/>
        <w:spacing w:after="0" w:line="302" w:lineRule="auto"/>
        <w:tabs>
          <w:tab w:leader="none" w:pos="11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 guarantees with respect to Indebtedness of any Loan Party or one of its Subsidiaries, to the extent that the Person that is obligated under such guaranty could have incurred such underlying Indebtedness,</w:t>
      </w:r>
    </w:p>
    <w:p>
      <w:pPr>
        <w:spacing w:after="0" w:line="46" w:lineRule="exact"/>
        <w:rPr>
          <w:rFonts w:ascii="Arial" w:cs="Arial" w:eastAsia="Arial" w:hAnsi="Arial"/>
          <w:sz w:val="16"/>
          <w:szCs w:val="16"/>
          <w:color w:val="auto"/>
        </w:rPr>
      </w:pPr>
    </w:p>
    <w:p>
      <w:pPr>
        <w:ind w:right="80" w:firstLine="921"/>
        <w:spacing w:after="0" w:line="272" w:lineRule="auto"/>
        <w:tabs>
          <w:tab w:leader="none" w:pos="11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unsecured Indebtedness of any Loan Party that is incurred on the date of the consummation of a Permitted Acquisition solely for the purpose of consummating such Permitted Acquisition so long as (i) no Event of Default has occurred and is continuing or would result therefrom, (ii) such unsecured Indebtedness is not incurred for working capital purposes, (iii) such unsecured Indebtedness does not mature prior to the date that is 6 months after the Maturity Date, (iv) such unsecured Indebtedness does not amortize until 6 months after the Maturity Date, (v) such unsecured Indebtedness does not provide for the payment of interest thereon in cash or Cash Equivalents prior to the date that is 6 months after the Maturity Date, and (vi) such Indebtedness is subordinated in right of payment to the Obligations on terms and conditions reasonably satisfactory to Agent and is otherwise on terms and conditions (including economic terms and absence of covenants) reasonably satisfactory to Agent,</w:t>
      </w:r>
    </w:p>
    <w:p>
      <w:pPr>
        <w:spacing w:after="0" w:line="69" w:lineRule="exact"/>
        <w:rPr>
          <w:rFonts w:ascii="Arial" w:cs="Arial" w:eastAsia="Arial" w:hAnsi="Arial"/>
          <w:sz w:val="17"/>
          <w:szCs w:val="17"/>
          <w:color w:val="auto"/>
        </w:rPr>
      </w:pPr>
    </w:p>
    <w:p>
      <w:pPr>
        <w:ind w:right="260" w:firstLine="921"/>
        <w:spacing w:after="0" w:line="264" w:lineRule="auto"/>
        <w:tabs>
          <w:tab w:leader="none" w:pos="1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Acquired Indebtedness of any Person that becomes a Subsidiary after the date hereof, incurred prior to the time such Person becomes a Subsidiary, that is not created in contemplation of, or in connection with such Person becoming a Subsidiary, and that is not assumed or guaranteed by any other Subsidiary, in an amount not to exceed $25,000,000 outstanding at any one time,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under performance, surety, statutory, or appeal bonds,</w:t>
      </w:r>
    </w:p>
    <w:p>
      <w:pPr>
        <w:spacing w:after="0" w:line="117" w:lineRule="exact"/>
        <w:rPr>
          <w:rFonts w:ascii="Arial" w:cs="Arial" w:eastAsia="Arial" w:hAnsi="Arial"/>
          <w:sz w:val="18"/>
          <w:szCs w:val="18"/>
          <w:color w:val="auto"/>
        </w:rPr>
      </w:pPr>
    </w:p>
    <w:p>
      <w:pPr>
        <w:ind w:firstLine="921"/>
        <w:spacing w:after="0" w:line="286" w:lineRule="auto"/>
        <w:tabs>
          <w:tab w:leader="none" w:pos="11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Indebtedness owed to any Person providing property, casualty, liability, or other insurance to any Loan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64" w:name="page65"/>
    <w:bookmarkEnd w:id="64"/>
    <w:p>
      <w:pPr>
        <w:ind w:right="320" w:firstLine="921"/>
        <w:spacing w:after="0" w:line="264" w:lineRule="auto"/>
        <w:tabs>
          <w:tab w:leader="none" w:pos="1128"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incurrence by any Loan Party or its Subsidiaries of Indebtedness under Hedge Agreements that is incurred for the bona fide purpose of hedging the interest rate, commodity, or foreign currency risks associated with such Loan Party’s or such Subsidiary’s operations and not for speculative purposes,</w:t>
      </w:r>
    </w:p>
    <w:p>
      <w:pPr>
        <w:spacing w:after="0" w:line="73" w:lineRule="exact"/>
        <w:rPr>
          <w:rFonts w:ascii="Arial" w:cs="Arial" w:eastAsia="Arial" w:hAnsi="Arial"/>
          <w:sz w:val="18"/>
          <w:szCs w:val="18"/>
          <w:color w:val="auto"/>
        </w:rPr>
      </w:pPr>
    </w:p>
    <w:p>
      <w:pPr>
        <w:ind w:right="240" w:firstLine="921"/>
        <w:spacing w:after="0" w:line="308" w:lineRule="auto"/>
        <w:tabs>
          <w:tab w:leader="none" w:pos="1168"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Indebtedness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38" w:lineRule="exact"/>
        <w:rPr>
          <w:rFonts w:ascii="Arial" w:cs="Arial" w:eastAsia="Arial" w:hAnsi="Arial"/>
          <w:sz w:val="17"/>
          <w:szCs w:val="17"/>
          <w:color w:val="auto"/>
        </w:rPr>
      </w:pPr>
    </w:p>
    <w:p>
      <w:pPr>
        <w:ind w:right="180" w:firstLine="921"/>
        <w:spacing w:after="0" w:line="297" w:lineRule="auto"/>
        <w:tabs>
          <w:tab w:leader="none" w:pos="1128"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unsecured Indebtedness of any Loan Party owing to employees, former employees, former officers, directors, or former directors (or any spouses, ex-spouses, or estates of any of the foregoing) incurred in connection with the repurchase or redemption by such Loan Party of the Equity Interests of Parent that has been issued to such Persons, so long as (i) no Event of Default has occurred and is continuing or would result from the incurrence of such Indebtedness, (ii) the aggregate amount of all such Indebtedness outstanding at any one time does not exceed $10,000,000, and (iii) such Indebtedness is subordinated in right of payment to the Obligations on terms and conditions reasonably acceptable to Agent,</w:t>
      </w:r>
    </w:p>
    <w:p>
      <w:pPr>
        <w:spacing w:after="0" w:line="50" w:lineRule="exact"/>
        <w:rPr>
          <w:rFonts w:ascii="Arial" w:cs="Arial" w:eastAsia="Arial" w:hAnsi="Arial"/>
          <w:sz w:val="16"/>
          <w:szCs w:val="16"/>
          <w:color w:val="auto"/>
        </w:rPr>
      </w:pPr>
    </w:p>
    <w:p>
      <w:pPr>
        <w:ind w:right="260" w:firstLine="921"/>
        <w:spacing w:after="0" w:line="277" w:lineRule="auto"/>
        <w:tabs>
          <w:tab w:leader="none" w:pos="12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contingent liabilities in respect of any indemnification obligation, adjustment of purchase price, non-compete, or similar obligation of any Loan Party incurred in connection with the consummation of one or more Permitted Acquisitions,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composing Permitted Investments, including Permitted Intercompany Advances,</w:t>
      </w:r>
    </w:p>
    <w:p>
      <w:pPr>
        <w:spacing w:after="0" w:line="117"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unsecured Indebtedness incurred in respect of netting services, overdraft protection, and other like services, in each case, incurred in the ordinary course of business,</w:t>
      </w:r>
    </w:p>
    <w:p>
      <w:pPr>
        <w:spacing w:after="0" w:line="62" w:lineRule="exact"/>
        <w:rPr>
          <w:rFonts w:ascii="Arial" w:cs="Arial" w:eastAsia="Arial" w:hAnsi="Arial"/>
          <w:sz w:val="18"/>
          <w:szCs w:val="18"/>
          <w:color w:val="auto"/>
        </w:rPr>
      </w:pPr>
    </w:p>
    <w:p>
      <w:pPr>
        <w:ind w:right="360" w:firstLine="921"/>
        <w:spacing w:after="0" w:line="264" w:lineRule="auto"/>
        <w:tabs>
          <w:tab w:leader="none" w:pos="1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unsecured Indebtedness of any Loan Party or its Subsidiaries in respect of Earn-Outs owing to sellers of assets or Equity Interests to such Loan Party or its Subsidiaries that is incurred in connection with the consummation of one or more Permitted Acquisitions so long as such unsecured Indebtedness is on terms and conditions reasonably acceptable to Agent,</w:t>
      </w:r>
    </w:p>
    <w:p>
      <w:pPr>
        <w:spacing w:after="0" w:line="73" w:lineRule="exact"/>
        <w:rPr>
          <w:rFonts w:ascii="Arial" w:cs="Arial" w:eastAsia="Arial" w:hAnsi="Arial"/>
          <w:sz w:val="18"/>
          <w:szCs w:val="18"/>
          <w:color w:val="auto"/>
        </w:rPr>
      </w:pPr>
    </w:p>
    <w:p>
      <w:pPr>
        <w:ind w:right="220" w:firstLine="921"/>
        <w:spacing w:after="0" w:line="342" w:lineRule="auto"/>
        <w:tabs>
          <w:tab w:leader="none" w:pos="11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Indebtedness in an aggregate outstanding principal amount not to exceed $50,000,000 at any time outstanding for all Subsidiaries of Parent that are not Loan Parties;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Indebtedness is not directly or indirectly recourse to any of the Loan Parties or of their respective assets,</w:t>
      </w:r>
    </w:p>
    <w:p>
      <w:pPr>
        <w:spacing w:after="0" w:line="15" w:lineRule="exact"/>
        <w:rPr>
          <w:rFonts w:ascii="Arial" w:cs="Arial" w:eastAsia="Arial" w:hAnsi="Arial"/>
          <w:sz w:val="16"/>
          <w:szCs w:val="16"/>
          <w:color w:val="auto"/>
        </w:rPr>
      </w:pPr>
    </w:p>
    <w:p>
      <w:pPr>
        <w:ind w:right="200" w:firstLine="921"/>
        <w:spacing w:after="0" w:line="277" w:lineRule="auto"/>
        <w:tabs>
          <w:tab w:leader="none" w:pos="11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accrual of interest, accretion or amortization of original issue discount, or the payment of interest in kind, in each case, on Indebtedness that otherwise constitutes Permitted Indebtedness,</w:t>
      </w:r>
    </w:p>
    <w:p>
      <w:pPr>
        <w:spacing w:after="0" w:line="62" w:lineRule="exact"/>
        <w:rPr>
          <w:rFonts w:ascii="Arial" w:cs="Arial" w:eastAsia="Arial" w:hAnsi="Arial"/>
          <w:sz w:val="18"/>
          <w:szCs w:val="18"/>
          <w:color w:val="auto"/>
        </w:rPr>
      </w:pPr>
    </w:p>
    <w:p>
      <w:pPr>
        <w:ind w:firstLine="921"/>
        <w:spacing w:after="0" w:line="312" w:lineRule="auto"/>
        <w:tabs>
          <w:tab w:leader="none" w:pos="11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Indebtedness of the Borrowers (and guarantees thereof by Guarantors) evidenced by term loans, bonds, debentures, notes or other similar instruments (including extensions, refinancings, refundings, replacements and renewals of thereof); provided that, (i) the scheduled maturity date of such Debt shall not be earlier than one hundred eighty days after the Maturity Date, (ii) no Event of Default shall have occurred and be continuing or shall result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5" w:name="page66"/>
    <w:bookmarkEnd w:id="6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therefrom, (iii) at the time of incurrence thereof and after giving pro forma effect thereto and the use of proceeds thereof, the Leverage Ratio, calculated on a pro forma basis as of the most recently ended fiscal quarter or year, as applicable, for which Agent has received financial statements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on or prior to the incurrence of such Indebtedness, is no greater than 4.00 to 1.00 (or 5.00 to 1.00, but only if at the time of incurrence thereof and after giving pro forma effect thereto and the use of proceeds thereof, the Fixed Charge Coverage Ratio of the Loan Parties and their Subsidiaries, calculated on a pro forma basis as of the most recently ended fiscal quarter or year, as applicable, for which Agent has received financial statements pursuant to Section 5.1 on or prior to the incurrence of such Indebtedness, is equal to or greater than 1.50:1.00), (iv) with respect to any secured Indebtedness incurred pursuant to this clause (s), the Liens securing such Indebtedness shall be subordinated and junior in priority to Agent’s Liens pursuant to an intercreditor agreement in form and substance reasonably satisfactory to Agent, (v) such Indebtedness shall not have any amortization or other requirement to purchase, redeem, retire, defease or otherwise make any payment in respect thereof, other than at scheduled maturity thereof and mandatory prepayments which are customary with respect to such type of Indebtedness and that are triggered upon change in control and sale of all or substantially all assets and certain other material asset sales, and (vi) the agreements and instruments governing such Indebtedness shall not contain (A) any affirmative or negative covenants that are, taken as a whole, materially more restrictive than those set forth in this Agreement; provided that the inclusion of any financial covenant that is customary with respect to such type of Indebtedness and that is not found in this Agreement shall not be deemed to be more restrictive for purposes of this clause (A), (B) any restrictions on the ability of Parent or any Subsidiary of the Parent to guarantee the Obligations, provided that a requirement that any such Subsidiary also guarantee such Indebtedness shall not be deemed to be a violation of this clause (B), (C) any restrictions on the ability of Parent or any Subsidiary of Parent to pledge Collateral as collateral security for the Obligations, or (D) any restrictions on the ability of Parent or any Subsidiary of Parent to incur Indebtedness under this Agreement or any other Loan Document other than a restriction as to the outstanding principal amount of such Indebtedness in excess of 110% of the sum of aggregate Maximum Revolver Amount plus the Available Increase Amount, in each case, as in effect on the initial issuance date of such Indebtedness,</w:t>
      </w:r>
    </w:p>
    <w:p>
      <w:pPr>
        <w:spacing w:after="0" w:line="82" w:lineRule="exact"/>
        <w:rPr>
          <w:sz w:val="20"/>
          <w:szCs w:val="20"/>
          <w:color w:val="auto"/>
        </w:rPr>
      </w:pPr>
    </w:p>
    <w:p>
      <w:pPr>
        <w:ind w:left="1140" w:hanging="219"/>
        <w:spacing w:after="0"/>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Indebtedness incurred in connection with Permitted Sale Leaseback transaction,</w:t>
      </w:r>
    </w:p>
    <w:p>
      <w:pPr>
        <w:spacing w:after="0" w:line="117" w:lineRule="exact"/>
        <w:rPr>
          <w:rFonts w:ascii="Arial" w:cs="Arial" w:eastAsia="Arial" w:hAnsi="Arial"/>
          <w:sz w:val="18"/>
          <w:szCs w:val="18"/>
          <w:color w:val="auto"/>
        </w:rPr>
      </w:pPr>
    </w:p>
    <w:p>
      <w:pPr>
        <w:ind w:right="580" w:firstLine="921"/>
        <w:spacing w:after="0" w:line="277" w:lineRule="auto"/>
        <w:tabs>
          <w:tab w:leader="none" w:pos="11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Indebtedness consisting of deferred compensation, severance, pension or health and welfare retirement benefits for current and former employees incurred in the ordinary course of business and consistent with past practices,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indemnities given and warranties issued in the ordinary course of business and consistent with past practices, and</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other Indebtedness incurred by any Loan Party or any of its Subsidiaries in an aggregate outstanding amount not to exceed the greater of</w:t>
      </w:r>
    </w:p>
    <w:p>
      <w:pPr>
        <w:spacing w:after="0" w:line="46" w:lineRule="exact"/>
        <w:rPr>
          <w:rFonts w:ascii="Arial" w:cs="Arial" w:eastAsia="Arial" w:hAnsi="Arial"/>
          <w:sz w:val="16"/>
          <w:szCs w:val="16"/>
          <w:color w:val="auto"/>
        </w:rPr>
      </w:pPr>
    </w:p>
    <w:p>
      <w:pPr>
        <w:ind w:right="160" w:firstLine="8"/>
        <w:spacing w:after="0" w:line="254"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$50,000,000 at any one time, and (b) 1.5% of the consolidated total assets (calculated in accordance with GAAP) of the Parent and its Subsidiaries at the time of the incurrence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that any with respect to any secured Indebtedness incurred pursuant to this clause (w), the holder of such secured Indebtedness (or an agent or representative in respect thereof) shall have entered into an intercreditor agreement in form and substance reasonably satisfactory to Agent.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66" w:name="page67"/>
    <w:bookmarkEnd w:id="66"/>
    <w:p>
      <w:pPr>
        <w:ind w:firstLine="9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Permitted Intercompany Advances</w:t>
      </w:r>
      <w:r>
        <w:rPr>
          <w:rFonts w:ascii="Arial" w:cs="Arial" w:eastAsia="Arial" w:hAnsi="Arial"/>
          <w:sz w:val="17"/>
          <w:szCs w:val="17"/>
          <w:color w:val="auto"/>
        </w:rPr>
        <w:t>” means loans and other Investments made by (a) a Loan Party to another Loan Party (other than to Parent, and other than by a US Loan Party to a Canadian Loan Party or a UK Loan Party), (b) a Subsidiary of a Loan Party that is not a Loan Party to another Subsidiary of a Loan Party that is not a Loan Party, (c) a Subsidiary of a Loan Party that is not a Loan Party to a Loan Party, so long as the parties thereto are party to the Intercompany Subordination Agreement, (d) a US Loan Party to a Canadian Loan Party or a UK Loan Party, so long as the aggregate amount of all such loans and other Investments (by type, not by the borrower) does not exceed $15,000,000 outstanding at any one time, and (e) a Loan Party to a Subsidiary of a Loan Party that is not a Loan Party or a US Loan Party to a Canadian Loan Party or a UK Loan Party (in excess of the amount described in the foregoing clause (d)) so long as the Payment Conditions have been satisfied.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in negotiable instruments deposited or to be deposited for collection in the ordinary course of business,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advances made in connection with purchases of goods or services in the ordinary course of business,</w:t>
      </w:r>
    </w:p>
    <w:p>
      <w:pPr>
        <w:spacing w:after="0" w:line="117" w:lineRule="exact"/>
        <w:rPr>
          <w:rFonts w:ascii="Arial" w:cs="Arial" w:eastAsia="Arial" w:hAnsi="Arial"/>
          <w:sz w:val="18"/>
          <w:szCs w:val="18"/>
          <w:color w:val="auto"/>
        </w:rPr>
      </w:pPr>
    </w:p>
    <w:p>
      <w:pPr>
        <w:jc w:val="both"/>
        <w:ind w:right="140" w:firstLine="921"/>
        <w:spacing w:after="0" w:line="264"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Investments owned by any Loan Party or any of its Subsidiaries on the Closing Date and set forth on </w:t>
      </w:r>
      <w:r>
        <w:rPr>
          <w:rFonts w:ascii="Arial" w:cs="Arial" w:eastAsia="Arial" w:hAnsi="Arial"/>
          <w:sz w:val="17"/>
          <w:szCs w:val="17"/>
          <w:u w:val="single" w:color="auto"/>
          <w:color w:val="auto"/>
        </w:rPr>
        <w:t>Schedule P-1</w:t>
      </w:r>
      <w:r>
        <w:rPr>
          <w:rFonts w:ascii="Arial" w:cs="Arial" w:eastAsia="Arial" w:hAnsi="Arial"/>
          <w:sz w:val="17"/>
          <w:szCs w:val="17"/>
          <w:color w:val="auto"/>
        </w:rPr>
        <w:t xml:space="preserve"> to this Agreement,</w:t>
      </w:r>
    </w:p>
    <w:p>
      <w:pPr>
        <w:spacing w:after="0" w:line="128" w:lineRule="exact"/>
        <w:rPr>
          <w:rFonts w:ascii="Arial" w:cs="Arial" w:eastAsia="Arial" w:hAnsi="Arial"/>
          <w:sz w:val="17"/>
          <w:szCs w:val="17"/>
          <w:color w:val="auto"/>
        </w:rPr>
      </w:pPr>
    </w:p>
    <w:p>
      <w:pPr>
        <w:ind w:left="1140" w:hanging="219"/>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guarantees permitted under the definition of Permitted Indebtedness,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Permitted Intercompany Advances,</w:t>
      </w:r>
    </w:p>
    <w:p>
      <w:pPr>
        <w:spacing w:after="0" w:line="117" w:lineRule="exact"/>
        <w:rPr>
          <w:rFonts w:ascii="Arial" w:cs="Arial" w:eastAsia="Arial" w:hAnsi="Arial"/>
          <w:sz w:val="18"/>
          <w:szCs w:val="18"/>
          <w:color w:val="auto"/>
        </w:rPr>
      </w:pPr>
    </w:p>
    <w:p>
      <w:pPr>
        <w:ind w:right="260" w:firstLine="921"/>
        <w:spacing w:after="0" w:line="264"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Equity Interests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deposits of cash made in the ordinary course of business to secure performance of operating leases,</w:t>
      </w:r>
    </w:p>
    <w:p>
      <w:pPr>
        <w:spacing w:after="0" w:line="117" w:lineRule="exact"/>
        <w:rPr>
          <w:rFonts w:ascii="Arial" w:cs="Arial" w:eastAsia="Arial" w:hAnsi="Arial"/>
          <w:sz w:val="18"/>
          <w:szCs w:val="18"/>
          <w:color w:val="auto"/>
        </w:rPr>
      </w:pPr>
    </w:p>
    <w:p>
      <w:pPr>
        <w:ind w:right="160" w:firstLine="921"/>
        <w:spacing w:after="0" w:line="259" w:lineRule="auto"/>
        <w:tabs>
          <w:tab w:leader="none" w:pos="11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non-cash loans and advances to employees, officers, and directors of a Loan Party or any of its Subsidiaries for the purpose of purchasing Equity Interests in Parent so long as the proceeds of such loans are used in their entirety to purchase such Equity Interests in Parent, and (ii) loans and advances to employees and officers of a Loan Party or any of its Subsidiaries in the ordinary course of business for any other business purpose and in an aggregate amount not to exceed $10,000,000 at any one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67" w:name="page68"/>
    <w:bookmarkEnd w:id="67"/>
    <w:p>
      <w:pPr>
        <w:ind w:left="260" w:hanging="259"/>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Acquisitions,</w:t>
      </w:r>
    </w:p>
    <w:p>
      <w:pPr>
        <w:spacing w:after="0" w:line="117" w:lineRule="exact"/>
        <w:rPr>
          <w:rFonts w:ascii="Arial" w:cs="Arial" w:eastAsia="Arial" w:hAnsi="Arial"/>
          <w:sz w:val="18"/>
          <w:szCs w:val="18"/>
          <w:color w:val="auto"/>
        </w:rPr>
      </w:pPr>
    </w:p>
    <w:p>
      <w:pPr>
        <w:ind w:left="-920" w:right="120" w:firstLine="921"/>
        <w:spacing w:after="0" w:line="264" w:lineRule="auto"/>
        <w:tabs>
          <w:tab w:leader="none" w:pos="2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the form of capital contributions and the acquisition of Equity Interests made by any US Loan Party in any other US Loan Party (other than capital contributions to or the acquisition of Equity Interests of Parent) or by any Canadian Loan Party in any other Canadian Loan Party or by any UK Loan Party in any other UK Loan Party,</w:t>
      </w:r>
    </w:p>
    <w:p>
      <w:pPr>
        <w:spacing w:after="0" w:line="73" w:lineRule="exact"/>
        <w:rPr>
          <w:rFonts w:ascii="Arial" w:cs="Arial" w:eastAsia="Arial" w:hAnsi="Arial"/>
          <w:sz w:val="18"/>
          <w:szCs w:val="18"/>
          <w:color w:val="auto"/>
        </w:rPr>
      </w:pPr>
    </w:p>
    <w:p>
      <w:pPr>
        <w:ind w:left="-920" w:right="60" w:firstLine="921"/>
        <w:spacing w:after="0" w:line="277" w:lineRule="auto"/>
        <w:tabs>
          <w:tab w:leader="none" w:pos="29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resulting from entering into (i) Bank Product Agreements, or (ii) agreements relative to obligations permitted under clause (j) of the definition of Permitted Indebtedness,</w:t>
      </w:r>
    </w:p>
    <w:p>
      <w:pPr>
        <w:spacing w:after="0" w:line="62" w:lineRule="exact"/>
        <w:rPr>
          <w:rFonts w:ascii="Arial" w:cs="Arial" w:eastAsia="Arial" w:hAnsi="Arial"/>
          <w:sz w:val="18"/>
          <w:szCs w:val="18"/>
          <w:color w:val="auto"/>
        </w:rPr>
      </w:pPr>
    </w:p>
    <w:p>
      <w:pPr>
        <w:ind w:left="-920" w:right="460" w:firstLine="921"/>
        <w:spacing w:after="0" w:line="277" w:lineRule="auto"/>
        <w:tabs>
          <w:tab w:leader="none" w:pos="2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equity Investments by any Loan Party in any Subsidiary of such Loan Party which is required by law to maintain a minimum net capital requirement or as may be otherwise required by applicable law,</w:t>
      </w:r>
    </w:p>
    <w:p>
      <w:pPr>
        <w:spacing w:after="0" w:line="62" w:lineRule="exact"/>
        <w:rPr>
          <w:rFonts w:ascii="Arial" w:cs="Arial" w:eastAsia="Arial" w:hAnsi="Arial"/>
          <w:sz w:val="18"/>
          <w:szCs w:val="18"/>
          <w:color w:val="auto"/>
        </w:rPr>
      </w:pPr>
    </w:p>
    <w:p>
      <w:pPr>
        <w:ind w:left="-920" w:right="60" w:firstLine="921"/>
        <w:spacing w:after="0" w:line="277" w:lineRule="auto"/>
        <w:tabs>
          <w:tab w:leader="none" w:pos="2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62" w:lineRule="exact"/>
        <w:rPr>
          <w:rFonts w:ascii="Arial" w:cs="Arial" w:eastAsia="Arial" w:hAnsi="Arial"/>
          <w:sz w:val="18"/>
          <w:szCs w:val="18"/>
          <w:color w:val="auto"/>
        </w:rPr>
      </w:pPr>
    </w:p>
    <w:p>
      <w:pPr>
        <w:ind w:left="260" w:hanging="259"/>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Investments in the form of Restricted Payments permitted by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of this Agreement,</w:t>
      </w:r>
    </w:p>
    <w:p>
      <w:pPr>
        <w:spacing w:after="0" w:line="117" w:lineRule="exact"/>
        <w:rPr>
          <w:rFonts w:ascii="Arial" w:cs="Arial" w:eastAsia="Arial" w:hAnsi="Arial"/>
          <w:sz w:val="18"/>
          <w:szCs w:val="18"/>
          <w:color w:val="auto"/>
        </w:rPr>
      </w:pPr>
    </w:p>
    <w:p>
      <w:pPr>
        <w:ind w:left="-920" w:right="560" w:firstLine="921"/>
        <w:spacing w:after="0" w:line="277" w:lineRule="auto"/>
        <w:tabs>
          <w:tab w:leader="none" w:pos="2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UCC Article 3 endorsements for collection or deposits and UCC Article 4 customary trade arrangements with customers consistent with past practices,</w:t>
      </w:r>
    </w:p>
    <w:p>
      <w:pPr>
        <w:spacing w:after="0" w:line="62" w:lineRule="exact"/>
        <w:rPr>
          <w:rFonts w:ascii="Arial" w:cs="Arial" w:eastAsia="Arial" w:hAnsi="Arial"/>
          <w:sz w:val="18"/>
          <w:szCs w:val="18"/>
          <w:color w:val="auto"/>
        </w:rPr>
      </w:pPr>
    </w:p>
    <w:p>
      <w:pPr>
        <w:jc w:val="both"/>
        <w:ind w:left="-920" w:right="60" w:firstLine="921"/>
        <w:spacing w:after="0" w:line="264" w:lineRule="auto"/>
        <w:tabs>
          <w:tab w:leader="none" w:pos="2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any other Investments in an aggregate amount not to exceed $15,000,000 (or, so long as after giving effect to such proposed Investment, no Covenant Trigger Event shall have occurred and be continuing (and no Covenant Testing Period is otherwise then in effect), $25,000,000) during the term of this Agreement,</w:t>
      </w:r>
    </w:p>
    <w:p>
      <w:pPr>
        <w:spacing w:after="0" w:line="73" w:lineRule="exact"/>
        <w:rPr>
          <w:rFonts w:ascii="Arial" w:cs="Arial" w:eastAsia="Arial" w:hAnsi="Arial"/>
          <w:sz w:val="18"/>
          <w:szCs w:val="18"/>
          <w:color w:val="auto"/>
        </w:rPr>
      </w:pPr>
    </w:p>
    <w:p>
      <w:pPr>
        <w:ind w:left="240" w:hanging="239"/>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Investments (other than Acquisitions) so long as the Payment Conditions are satisfied, and</w:t>
      </w:r>
    </w:p>
    <w:p>
      <w:pPr>
        <w:spacing w:after="0" w:line="117" w:lineRule="exact"/>
        <w:rPr>
          <w:rFonts w:ascii="Arial" w:cs="Arial" w:eastAsia="Arial" w:hAnsi="Arial"/>
          <w:sz w:val="18"/>
          <w:szCs w:val="18"/>
          <w:color w:val="auto"/>
        </w:rPr>
      </w:pPr>
    </w:p>
    <w:p>
      <w:pPr>
        <w:ind w:left="-920" w:firstLine="921"/>
        <w:spacing w:after="0" w:line="342" w:lineRule="auto"/>
        <w:tabs>
          <w:tab w:leader="none" w:pos="2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Investments consisting of non-cash consideration received in connection with Permitted Dispositions, so long as the non-cash consideration received in connection with any Permitted Disposition does not exceed 25% of the total consideration received in connection with such Permitted Disposition.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4640" w:right="5180" w:hanging="4639"/>
        <w:spacing w:after="0" w:line="536" w:lineRule="auto"/>
        <w:tabs>
          <w:tab w:leader="none" w:pos="242"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granted to, or for the benefit of, Agent to secure the Obligations, -57-</w:t>
      </w:r>
    </w:p>
    <w:p>
      <w:pPr>
        <w:sectPr>
          <w:pgSz w:w="11900" w:h="16838" w:orient="portrait"/>
          <w:cols w:equalWidth="0" w:num="1">
            <w:col w:w="10500"/>
          </w:cols>
          <w:pgMar w:left="1160" w:top="274" w:right="239" w:bottom="1440" w:gutter="0" w:footer="0" w:header="0"/>
        </w:sectPr>
      </w:pPr>
    </w:p>
    <w:bookmarkStart w:id="68" w:name="page69"/>
    <w:bookmarkEnd w:id="68"/>
    <w:p>
      <w:pPr>
        <w:ind w:left="-20" w:right="180" w:firstLine="921"/>
        <w:spacing w:after="0" w:line="277" w:lineRule="auto"/>
        <w:tabs>
          <w:tab w:leader="none" w:pos="114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for unpaid taxes, assessments, or other governmental charges or levies that either (i) are not yet delinquent, or (ii) do not have priority over Agent’s Liens and the underlying taxes, assessments, or charges or levies are the subject of Permitted Protests,</w:t>
      </w:r>
    </w:p>
    <w:p>
      <w:pPr>
        <w:spacing w:after="0" w:line="62" w:lineRule="exact"/>
        <w:rPr>
          <w:rFonts w:ascii="Arial" w:cs="Arial" w:eastAsia="Arial" w:hAnsi="Arial"/>
          <w:sz w:val="18"/>
          <w:szCs w:val="18"/>
          <w:color w:val="auto"/>
        </w:rPr>
      </w:pPr>
    </w:p>
    <w:p>
      <w:pPr>
        <w:ind w:left="-20" w:right="480" w:firstLine="921"/>
        <w:spacing w:after="0" w:line="277" w:lineRule="auto"/>
        <w:tabs>
          <w:tab w:leader="none" w:pos="11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judgment Liens arising solely as a result of the existence of judgments, orders, requirements to pay issued by a Canadian Governmental Authority or awards that do not constitute an Event of Default under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this Agreement,</w:t>
      </w:r>
    </w:p>
    <w:p>
      <w:pPr>
        <w:spacing w:after="0" w:line="62" w:lineRule="exact"/>
        <w:rPr>
          <w:rFonts w:ascii="Arial" w:cs="Arial" w:eastAsia="Arial" w:hAnsi="Arial"/>
          <w:sz w:val="18"/>
          <w:szCs w:val="18"/>
          <w:color w:val="auto"/>
        </w:rPr>
      </w:pPr>
    </w:p>
    <w:p>
      <w:pPr>
        <w:ind w:left="-20" w:right="120" w:firstLine="921"/>
        <w:spacing w:after="0" w:line="308" w:lineRule="auto"/>
        <w:tabs>
          <w:tab w:leader="none" w:pos="1148"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Liens set forth on </w:t>
      </w:r>
      <w:r>
        <w:rPr>
          <w:rFonts w:ascii="Arial" w:cs="Arial" w:eastAsia="Arial" w:hAnsi="Arial"/>
          <w:sz w:val="17"/>
          <w:szCs w:val="17"/>
          <w:u w:val="single" w:color="auto"/>
          <w:color w:val="auto"/>
        </w:rPr>
        <w:t>Schedule P-2</w:t>
      </w:r>
      <w:r>
        <w:rPr>
          <w:rFonts w:ascii="Arial" w:cs="Arial" w:eastAsia="Arial" w:hAnsi="Arial"/>
          <w:sz w:val="17"/>
          <w:szCs w:val="17"/>
          <w:color w:val="auto"/>
        </w:rPr>
        <w:t xml:space="preserve">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qualify as a Permitted Lien, any such Lien described on </w:t>
      </w:r>
      <w:r>
        <w:rPr>
          <w:rFonts w:ascii="Arial" w:cs="Arial" w:eastAsia="Arial" w:hAnsi="Arial"/>
          <w:sz w:val="17"/>
          <w:szCs w:val="17"/>
          <w:u w:val="single" w:color="auto"/>
          <w:color w:val="auto"/>
        </w:rPr>
        <w:t>Schedule P-2</w:t>
      </w:r>
      <w:r>
        <w:rPr>
          <w:rFonts w:ascii="Arial" w:cs="Arial" w:eastAsia="Arial" w:hAnsi="Arial"/>
          <w:sz w:val="17"/>
          <w:szCs w:val="17"/>
          <w:color w:val="auto"/>
        </w:rPr>
        <w:t xml:space="preserve"> to this Agreement shall only secure the Indebtedness that it secures on the Closing Date and any Refinancing Indebtedness in respect thereof,</w:t>
      </w:r>
    </w:p>
    <w:p>
      <w:pPr>
        <w:spacing w:after="0" w:line="38" w:lineRule="exact"/>
        <w:rPr>
          <w:rFonts w:ascii="Arial" w:cs="Arial" w:eastAsia="Arial" w:hAnsi="Arial"/>
          <w:sz w:val="17"/>
          <w:szCs w:val="17"/>
          <w:color w:val="auto"/>
        </w:rPr>
      </w:pPr>
    </w:p>
    <w:p>
      <w:pPr>
        <w:ind w:left="1140" w:hanging="23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interests of lessors under operating leases and non-exclusive licensors under license agreements,</w:t>
      </w:r>
    </w:p>
    <w:p>
      <w:pPr>
        <w:spacing w:after="0" w:line="117" w:lineRule="exact"/>
        <w:rPr>
          <w:rFonts w:ascii="Arial" w:cs="Arial" w:eastAsia="Arial" w:hAnsi="Arial"/>
          <w:sz w:val="18"/>
          <w:szCs w:val="18"/>
          <w:color w:val="auto"/>
        </w:rPr>
      </w:pPr>
    </w:p>
    <w:p>
      <w:pPr>
        <w:ind w:left="-20" w:firstLine="921"/>
        <w:spacing w:after="0" w:line="312" w:lineRule="auto"/>
        <w:tabs>
          <w:tab w:leader="none" w:pos="11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purchase money Liens on fixed assets or the interests of lessors under Capital Leases to the extent that such Liens or interests secure Permitted Purchase Money Indebtedness and so long as (i) such Lien attaches only to the fixed asset purchased or acquired and the proceeds thereof, and (ii) such Lien only secures the Indebtedness that was incurred to acquire the fixed asset purchased or acquired or any Refinancing Indebtedness in respect thereof,</w:t>
      </w:r>
    </w:p>
    <w:p>
      <w:pPr>
        <w:spacing w:after="0" w:line="38" w:lineRule="exact"/>
        <w:rPr>
          <w:rFonts w:ascii="Arial" w:cs="Arial" w:eastAsia="Arial" w:hAnsi="Arial"/>
          <w:sz w:val="16"/>
          <w:szCs w:val="16"/>
          <w:color w:val="auto"/>
        </w:rPr>
      </w:pPr>
    </w:p>
    <w:p>
      <w:pPr>
        <w:ind w:left="-20" w:right="100" w:firstLine="921"/>
        <w:spacing w:after="0" w:line="264" w:lineRule="auto"/>
        <w:tabs>
          <w:tab w:leader="none" w:pos="11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by operation of law in favor of warehousemen, landlords, carriers, mechanics, materialmen, laborers, or suppliers (or deposits made to obtain the release of such Liens), incurred or made in the ordinary course of business and not in connection with the borrowing of money, and which Liens either (i) are for sums not yet delinquent, or (ii) are the subject of Permitted Protests,</w:t>
      </w:r>
    </w:p>
    <w:p>
      <w:pPr>
        <w:spacing w:after="0" w:line="73" w:lineRule="exact"/>
        <w:rPr>
          <w:rFonts w:ascii="Arial" w:cs="Arial" w:eastAsia="Arial" w:hAnsi="Arial"/>
          <w:sz w:val="18"/>
          <w:szCs w:val="18"/>
          <w:color w:val="auto"/>
        </w:rPr>
      </w:pPr>
    </w:p>
    <w:p>
      <w:pPr>
        <w:ind w:left="-20" w:right="260" w:firstLine="921"/>
        <w:spacing w:after="0" w:line="342" w:lineRule="auto"/>
        <w:tabs>
          <w:tab w:leader="none" w:pos="11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Liens arising by operation of law in connection with Parent’s and its Subsidiaries obligations in connection with worker’s compensation or other unemployment insurance, old age benefits, social security obligations, taxes, assessments, statutory obligations or other like charges,</w:t>
      </w:r>
    </w:p>
    <w:p>
      <w:pPr>
        <w:spacing w:after="0" w:line="15" w:lineRule="exact"/>
        <w:rPr>
          <w:rFonts w:ascii="Arial" w:cs="Arial" w:eastAsia="Arial" w:hAnsi="Arial"/>
          <w:sz w:val="16"/>
          <w:szCs w:val="16"/>
          <w:color w:val="auto"/>
        </w:rPr>
      </w:pPr>
    </w:p>
    <w:p>
      <w:pPr>
        <w:ind w:left="-20" w:right="20" w:firstLine="921"/>
        <w:spacing w:after="0" w:line="277"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by operation of law in connection with Parent’s and its Subsidiaries obligations in connection with the making or entering into of bids, tenders, trade contracts, or leases in the ordinary course of business and not in connection with the borrowing of money,</w:t>
      </w:r>
    </w:p>
    <w:p>
      <w:pPr>
        <w:spacing w:after="0" w:line="62" w:lineRule="exact"/>
        <w:rPr>
          <w:rFonts w:ascii="Arial" w:cs="Arial" w:eastAsia="Arial" w:hAnsi="Arial"/>
          <w:sz w:val="18"/>
          <w:szCs w:val="18"/>
          <w:color w:val="auto"/>
        </w:rPr>
      </w:pPr>
    </w:p>
    <w:p>
      <w:pPr>
        <w:ind w:left="-20" w:right="100" w:firstLine="921"/>
        <w:spacing w:after="0" w:line="277"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on amounts deposited to secure Parent’s and its Subsidiaries reimbursement obligations with respect to surety or appeal bonds obtained in the ordinary course of business,</w:t>
      </w:r>
    </w:p>
    <w:p>
      <w:pPr>
        <w:spacing w:after="0" w:line="62" w:lineRule="exact"/>
        <w:rPr>
          <w:rFonts w:ascii="Arial" w:cs="Arial" w:eastAsia="Arial" w:hAnsi="Arial"/>
          <w:sz w:val="18"/>
          <w:szCs w:val="18"/>
          <w:color w:val="auto"/>
        </w:rPr>
      </w:pPr>
    </w:p>
    <w:p>
      <w:pPr>
        <w:ind w:left="-20" w:right="60" w:firstLine="921"/>
        <w:spacing w:after="0" w:line="297" w:lineRule="auto"/>
        <w:tabs>
          <w:tab w:leader="none" w:pos="11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encumbrances, easements, restrictions, servitudes, permits, conditions, covenants, exceptions or reservations in any property or rights-of-way of a Person for the purpose of roads, pipelines, transmission lines, transportation lines, distribution lines, removal of gas, oil, coal, metals, steam, minerals, timber or other natural resources, and other like purposes, or for the joint or common use of real property, rights-of-way, facilities or equipment, or defects, irregularity and deficiencies in title of any property or rights-of-way;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the obligation secured is not Indebtedness and is not overdue or, if overdue, is being contested in good faith by appropriate proceedings and reserves in conformity with GAAP have been provided therefore,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60" w:top="274" w:right="239" w:bottom="1440" w:gutter="0" w:footer="0" w:header="0"/>
        </w:sectPr>
      </w:pPr>
    </w:p>
    <w:bookmarkStart w:id="69" w:name="page70"/>
    <w:bookmarkEnd w:id="69"/>
    <w:p>
      <w:pPr>
        <w:ind w:left="1120" w:hanging="219"/>
        <w:spacing w:after="0"/>
        <w:tabs>
          <w:tab w:leader="none" w:pos="1120"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non-exclusive licenses of patents, trademarks, copyrights, and other intellectual property rights in the ordinary course of business,</w:t>
      </w:r>
    </w:p>
    <w:p>
      <w:pPr>
        <w:spacing w:after="0" w:line="128" w:lineRule="exact"/>
        <w:rPr>
          <w:rFonts w:ascii="Arial" w:cs="Arial" w:eastAsia="Arial" w:hAnsi="Arial"/>
          <w:sz w:val="17"/>
          <w:szCs w:val="17"/>
          <w:color w:val="auto"/>
        </w:rPr>
      </w:pPr>
    </w:p>
    <w:p>
      <w:pPr>
        <w:ind w:left="-20" w:right="880" w:firstLine="921"/>
        <w:spacing w:after="0" w:line="308" w:lineRule="auto"/>
        <w:tabs>
          <w:tab w:leader="none" w:pos="1198"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38" w:lineRule="exact"/>
        <w:rPr>
          <w:rFonts w:ascii="Arial" w:cs="Arial" w:eastAsia="Arial" w:hAnsi="Arial"/>
          <w:sz w:val="17"/>
          <w:szCs w:val="17"/>
          <w:color w:val="auto"/>
        </w:rPr>
      </w:pPr>
    </w:p>
    <w:p>
      <w:pPr>
        <w:ind w:left="-20" w:right="420" w:firstLine="921"/>
        <w:spacing w:after="0" w:line="277" w:lineRule="auto"/>
        <w:tabs>
          <w:tab w:leader="none" w:pos="11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rights of setoff or bankers’ liens upon deposits of funds in favor of banks or other depository institutions, solely to the extent incurred in connection with the maintenance of such Deposit Accounts in the ordinary course of business,</w:t>
      </w:r>
    </w:p>
    <w:p>
      <w:pPr>
        <w:spacing w:after="0" w:line="62" w:lineRule="exact"/>
        <w:rPr>
          <w:rFonts w:ascii="Arial" w:cs="Arial" w:eastAsia="Arial" w:hAnsi="Arial"/>
          <w:sz w:val="18"/>
          <w:szCs w:val="18"/>
          <w:color w:val="auto"/>
        </w:rPr>
      </w:pPr>
    </w:p>
    <w:p>
      <w:pPr>
        <w:ind w:left="-20" w:right="740" w:firstLine="921"/>
        <w:spacing w:after="0" w:line="277" w:lineRule="auto"/>
        <w:tabs>
          <w:tab w:leader="none" w:pos="11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62" w:lineRule="exact"/>
        <w:rPr>
          <w:rFonts w:ascii="Arial" w:cs="Arial" w:eastAsia="Arial" w:hAnsi="Arial"/>
          <w:sz w:val="18"/>
          <w:szCs w:val="18"/>
          <w:color w:val="auto"/>
        </w:rPr>
      </w:pPr>
    </w:p>
    <w:p>
      <w:pPr>
        <w:ind w:left="-20" w:right="500" w:firstLine="921"/>
        <w:spacing w:after="0" w:line="277" w:lineRule="auto"/>
        <w:tabs>
          <w:tab w:leader="none" w:pos="11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62" w:lineRule="exact"/>
        <w:rPr>
          <w:rFonts w:ascii="Arial" w:cs="Arial" w:eastAsia="Arial" w:hAnsi="Arial"/>
          <w:sz w:val="18"/>
          <w:szCs w:val="18"/>
          <w:color w:val="auto"/>
        </w:rPr>
      </w:pPr>
    </w:p>
    <w:p>
      <w:pPr>
        <w:ind w:left="-20" w:right="320" w:firstLine="921"/>
        <w:spacing w:after="0" w:line="277" w:lineRule="auto"/>
        <w:tabs>
          <w:tab w:leader="none" w:pos="11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a Loan Party or any of its Subsidiaries in connection with any letter of intent or purchase agreement with respect to a Permitted Acquisition,</w:t>
      </w:r>
    </w:p>
    <w:p>
      <w:pPr>
        <w:spacing w:after="0" w:line="62" w:lineRule="exact"/>
        <w:rPr>
          <w:rFonts w:ascii="Arial" w:cs="Arial" w:eastAsia="Arial" w:hAnsi="Arial"/>
          <w:sz w:val="18"/>
          <w:szCs w:val="18"/>
          <w:color w:val="auto"/>
        </w:rPr>
      </w:pPr>
    </w:p>
    <w:p>
      <w:pPr>
        <w:ind w:left="-20" w:right="340" w:firstLine="921"/>
        <w:spacing w:after="0" w:line="277" w:lineRule="auto"/>
        <w:tabs>
          <w:tab w:leader="none" w:pos="11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assumed by any Loan Party or its Subsidiaries in connection with a Permitted Acquisition that secure Acquired Indebtedness that is Permitted Indebtedness,</w:t>
      </w:r>
    </w:p>
    <w:p>
      <w:pPr>
        <w:spacing w:after="0" w:line="62" w:lineRule="exact"/>
        <w:rPr>
          <w:rFonts w:ascii="Arial" w:cs="Arial" w:eastAsia="Arial" w:hAnsi="Arial"/>
          <w:sz w:val="18"/>
          <w:szCs w:val="18"/>
          <w:color w:val="auto"/>
        </w:rPr>
      </w:pPr>
    </w:p>
    <w:p>
      <w:pPr>
        <w:ind w:left="-20" w:right="280" w:firstLine="921"/>
        <w:spacing w:after="0" w:line="264" w:lineRule="auto"/>
        <w:tabs>
          <w:tab w:leader="none" w:pos="11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securing Indebtedness permitted pursuant to clauses (s) and (t) of the definition of Permitted Indebtedness; provided, that any such Liens shall be subordinated and junior in priority to Agent’s Liens, pursuant to an intercreditor agreement in form and substance reasonably satisfactory to Agent,</w:t>
      </w:r>
    </w:p>
    <w:p>
      <w:pPr>
        <w:spacing w:after="0" w:line="73" w:lineRule="exact"/>
        <w:rPr>
          <w:rFonts w:ascii="Arial" w:cs="Arial" w:eastAsia="Arial" w:hAnsi="Arial"/>
          <w:sz w:val="18"/>
          <w:szCs w:val="18"/>
          <w:color w:val="auto"/>
        </w:rPr>
      </w:pPr>
    </w:p>
    <w:p>
      <w:pPr>
        <w:ind w:left="-20" w:firstLine="921"/>
        <w:spacing w:after="0" w:line="259" w:lineRule="auto"/>
        <w:tabs>
          <w:tab w:leader="none" w:pos="11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good faith deposits, pledges or other Liens in connection with (or to obtain or support letters of credit in connection with) bids, performance bonds, contracts or leases to which the Borrowers or their Subsidiaries are a party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the obligation secured is not Indebtedness and is not overdue or, if overdue, is being contested in good faith by appropriate proceedings and reserves in conformity with GAAP have been provided therefor,</w:t>
      </w:r>
    </w:p>
    <w:p>
      <w:pPr>
        <w:spacing w:after="0" w:line="78" w:lineRule="exact"/>
        <w:rPr>
          <w:rFonts w:ascii="Arial" w:cs="Arial" w:eastAsia="Arial" w:hAnsi="Arial"/>
          <w:sz w:val="18"/>
          <w:szCs w:val="18"/>
          <w:color w:val="auto"/>
        </w:rPr>
      </w:pPr>
    </w:p>
    <w:p>
      <w:pPr>
        <w:ind w:left="-20" w:right="60" w:firstLine="921"/>
        <w:spacing w:after="0" w:line="264" w:lineRule="auto"/>
        <w:tabs>
          <w:tab w:leader="none" w:pos="11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rights reserved to or vested in any municipality or governmental, statutory or public authority by the terms of any right, power, franchise, grant, license or permit, or by any provision of law, to terminate such right, power, franchise, grant, license or permit or to purchase, condemn, expropriate or recapture or to designate a purchaser of any of the property of a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60" w:top="274" w:right="259" w:bottom="1440" w:gutter="0" w:footer="0" w:header="0"/>
        </w:sectPr>
      </w:pPr>
    </w:p>
    <w:bookmarkStart w:id="70" w:name="page71"/>
    <w:bookmarkEnd w:id="7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 rights reserved to or vested in any municipality or governmental, statutory or public authority to control, regulate or use any property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103" w:lineRule="exact"/>
        <w:rPr>
          <w:sz w:val="20"/>
          <w:szCs w:val="20"/>
          <w:color w:val="auto"/>
        </w:rPr>
      </w:pPr>
    </w:p>
    <w:p>
      <w:pPr>
        <w:ind w:right="120" w:firstLine="921"/>
        <w:spacing w:after="0" w:line="277" w:lineRule="auto"/>
        <w:tabs>
          <w:tab w:leader="none" w:pos="12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zoning, planning and Environmental Laws and ordinances and municipal regulations, which do not, in any case, materially detract from the value of such property or impair the use thereof in the ordinary course of business, and</w:t>
      </w:r>
    </w:p>
    <w:p>
      <w:pPr>
        <w:spacing w:after="0" w:line="62" w:lineRule="exact"/>
        <w:rPr>
          <w:rFonts w:ascii="Arial" w:cs="Arial" w:eastAsia="Arial" w:hAnsi="Arial"/>
          <w:sz w:val="18"/>
          <w:szCs w:val="18"/>
          <w:color w:val="auto"/>
        </w:rPr>
      </w:pPr>
    </w:p>
    <w:p>
      <w:pPr>
        <w:ind w:firstLine="921"/>
        <w:spacing w:after="0" w:line="277" w:lineRule="auto"/>
        <w:tabs>
          <w:tab w:leader="none" w:pos="11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Liens which do not secure Indebtedness for borrowed money or letters of credit and as to which the aggregate amount of the obligations secured thereby does not exceed $10,000,000.</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Protest</w:t>
      </w:r>
      <w:r>
        <w:rPr>
          <w:rFonts w:ascii="Arial" w:cs="Arial" w:eastAsia="Arial" w:hAnsi="Arial"/>
          <w:sz w:val="18"/>
          <w:szCs w:val="18"/>
          <w:color w:val="auto"/>
        </w:rPr>
        <w:t xml:space="preserve">” means the right of any Loan Party or any of its Subsidiaries to protest any Lien (other than any Lien that secures the Obligations), taxes (other than payroll taxes or taxes that are the subject of a United States federal tax lien or Canadian equivalent, including a requirement to pay issued by a Canadian Governmental Authority), or rental payment; </w:t>
      </w:r>
      <w:r>
        <w:rPr>
          <w:rFonts w:ascii="Arial" w:cs="Arial" w:eastAsia="Arial" w:hAnsi="Arial"/>
          <w:sz w:val="18"/>
          <w:szCs w:val="18"/>
          <w:u w:val="single" w:color="auto"/>
          <w:color w:val="auto"/>
        </w:rPr>
        <w:t>provided</w:t>
      </w:r>
      <w:r>
        <w:rPr>
          <w:rFonts w:ascii="Arial" w:cs="Arial" w:eastAsia="Arial" w:hAnsi="Arial"/>
          <w:sz w:val="18"/>
          <w:szCs w:val="18"/>
          <w:color w:val="auto"/>
        </w:rPr>
        <w:t>, that (a) a reserve with respect to such obligation is established on such Loan Party’s or its Subsidiaries’ books and records in such amount as is required under GAAP, and (b) any such protest is instituted promptly and prosecuted diligently by such Loan Party or its Subsidiary, as applicable, in good faith.</w:t>
      </w:r>
    </w:p>
    <w:p>
      <w:pPr>
        <w:spacing w:after="0" w:line="188"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Purchase Money Indebtedness</w:t>
      </w:r>
      <w:r>
        <w:rPr>
          <w:rFonts w:ascii="Arial" w:cs="Arial" w:eastAsia="Arial" w:hAnsi="Arial"/>
          <w:sz w:val="16"/>
          <w:szCs w:val="16"/>
          <w:color w:val="auto"/>
        </w:rPr>
        <w:t>” means, as of any date of determination, Indebtedness (other than the Obligations, but including Capitalized Lease Obligations), incurred after the Closing Date and at the time of, or within 20 days after, the acquisition of any fixed assets for the purpose of financing all or any part of the acquisition cost thereof, in an aggregate principal amount outstanding at any one time not in excess of $25,000,000.</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Sale Leaseback</w:t>
      </w:r>
      <w:r>
        <w:rPr>
          <w:rFonts w:ascii="Arial" w:cs="Arial" w:eastAsia="Arial" w:hAnsi="Arial"/>
          <w:sz w:val="17"/>
          <w:szCs w:val="17"/>
          <w:color w:val="auto"/>
        </w:rPr>
        <w:t xml:space="preserve">” means an arrangement, directly or indirectly, with any Person relating to the Real Estate located at 7402 North Eldridge Parkway, Houston, Texas 77041, whereby the applicable Borrower sells or transfers such property to a Person and thereafter rents or leases such property or other property which it intends to use for substantially the same purpose or purposes as the property being sold or transferred;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Event of Default shall have occurred or be continuing or would result therefrom, (b) no less than 75% of the aggregate consideration received in such Permitted Sale Leaseback shall be in cash and Cash Equivalents, and the Net Cash Proceeds therefrom shall be remitted to Agent in accordance with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hereof, (c) the applicable Borrower shall receive at least fair market value (as determined by such Borrower in good faith) for any property disposed of in such Permitted Sale Leaseback, (d) such transaction is pursuant to a bona-fide, arms-length transaction with a Person that is not an Affiliate of any Loan Party, and (e) the applicable Loan Party uses its commercially reasonable efforts to insure that the Agent obtains a Collateral Access Agreement with respect to such parcel of Real Property leased back;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Collateral Access Agreement is not obtained, Agent may establish a Landlord Reserve with respect to such Real Property.</w:t>
      </w:r>
    </w:p>
    <w:p>
      <w:pPr>
        <w:spacing w:after="0" w:line="178"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71" w:name="page72"/>
    <w:bookmarkEnd w:id="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Post-Increase Revolver Lenders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Security Act</w:t>
      </w:r>
      <w:r>
        <w:rPr>
          <w:rFonts w:ascii="Arial" w:cs="Arial" w:eastAsia="Arial" w:hAnsi="Arial"/>
          <w:sz w:val="18"/>
          <w:szCs w:val="18"/>
          <w:color w:val="auto"/>
        </w:rPr>
        <w:t xml:space="preserve"> (Alberta) and any successor statutes, together with regulations thereunder, as in effect from time to time; provided that, if attachment, perfection or priority of Agent’s Liens in any Collateral are governed by the personal property security laws of any jurisdiction in Canada other than Alberta (including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PPSA shall mean those personal property security laws in such other jurisdiction for the purposes of the provisions hereof relating to such attachment, perfection or priority and for definitions related to such provision, and any successor statutes thereto, together with any regulations thereunder, in each case as in effect from time to time. References to sections of the PPSA shall be construed to also refer to any successor sections.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Pre-Increase Revolver Lenders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Projections</w:t>
      </w:r>
      <w:r>
        <w:rPr>
          <w:rFonts w:ascii="Arial" w:cs="Arial" w:eastAsia="Arial" w:hAnsi="Arial"/>
          <w:sz w:val="16"/>
          <w:szCs w:val="16"/>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124"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Protected Party</w:t>
      </w:r>
      <w:r>
        <w:rPr>
          <w:rFonts w:ascii="Arial" w:cs="Arial" w:eastAsia="Arial" w:hAnsi="Arial"/>
          <w:sz w:val="17"/>
          <w:szCs w:val="17"/>
          <w:color w:val="auto"/>
        </w:rPr>
        <w:t>” means a Lender which is or will be subject to any liability or required to make any payment for or on account of Tax in relation to a sum received or receivable (or any sum deemed for the purposes of Tax to be received or receivable) under a Loan Document.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as of any date of determination:</w:t>
      </w:r>
    </w:p>
    <w:p>
      <w:pPr>
        <w:spacing w:after="0" w:line="117" w:lineRule="exact"/>
        <w:rPr>
          <w:sz w:val="20"/>
          <w:szCs w:val="20"/>
          <w:color w:val="auto"/>
        </w:rPr>
      </w:pPr>
    </w:p>
    <w:p>
      <w:pPr>
        <w:ind w:right="100" w:firstLine="921"/>
        <w:spacing w:after="0" w:line="259"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 Lender’s obligation to make all or a portion of the US Revolving Loans, with respect to such Lender’s right to receive payments of interest, fees, and principal with respect to the US Revolving Loans, and with respect to all other computations and other matters related to the US Revolver Commitments or the US Revolving Loans, the percentage obtained by dividing (i) the US Revolving Loan Exposure of such Lender, by (ii) the aggregate US Revolving Loan Exposure of all Lenders,</w:t>
      </w:r>
    </w:p>
    <w:p>
      <w:pPr>
        <w:spacing w:after="0" w:line="78" w:lineRule="exact"/>
        <w:rPr>
          <w:rFonts w:ascii="Arial" w:cs="Arial" w:eastAsia="Arial" w:hAnsi="Arial"/>
          <w:sz w:val="18"/>
          <w:szCs w:val="18"/>
          <w:color w:val="auto"/>
        </w:rPr>
      </w:pPr>
    </w:p>
    <w:p>
      <w:pPr>
        <w:jc w:val="both"/>
        <w:ind w:right="20" w:firstLine="921"/>
        <w:spacing w:after="0" w:line="279" w:lineRule="auto"/>
        <w:tabs>
          <w:tab w:leader="none" w:pos="1168"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 respect to a Lender’s obligation to make all or a portion of the Canadian Revolving Loans, with respect to such Lender’s right to receive payments of interest, fees, and principal with respect to the Canadian Revolving Loans, and with respect to all other computations and other matters related to the Canadian Revolver Commitments or the Canadian Revolving Loans, the Dollar Equivalent of the percentage obtained by dividing (i) the Canadian Revolving Loan Exposure of such Lender by (ii) the aggregate Canadian Revolving Loan Exposure of all Lenders,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72" w:name="page73"/>
    <w:bookmarkEnd w:id="72"/>
    <w:p>
      <w:pPr>
        <w:ind w:left="-20" w:right="140" w:firstLine="921"/>
        <w:spacing w:after="0" w:line="259" w:lineRule="auto"/>
        <w:tabs>
          <w:tab w:leader="none" w:pos="1138"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a Lender’s obligation to make all or a portion of the UK Revolving Loans, with respect to such Lender’s right to receive payments of interest, fees, and principal with respect to the UK Revolving Loans, and with respect to all other computations and other matters related to the UK Revolver Commitments or the UK Revolving Loans, the Dollar Equivalent of the percentage obtained by dividing (i) the UK Revolving Loan Exposure of such Lender by (ii) the aggregate UK Revolving Loan Exposure of all Lenders,</w:t>
      </w:r>
    </w:p>
    <w:p>
      <w:pPr>
        <w:spacing w:after="0" w:line="78" w:lineRule="exact"/>
        <w:rPr>
          <w:rFonts w:ascii="Arial" w:cs="Arial" w:eastAsia="Arial" w:hAnsi="Arial"/>
          <w:sz w:val="18"/>
          <w:szCs w:val="18"/>
          <w:color w:val="auto"/>
        </w:rPr>
      </w:pPr>
    </w:p>
    <w:p>
      <w:pPr>
        <w:ind w:left="-20" w:right="40" w:firstLine="921"/>
        <w:spacing w:after="0" w:line="273" w:lineRule="auto"/>
        <w:tabs>
          <w:tab w:leader="none" w:pos="1148"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with respect to a Lender’s obligation to participate in the US Letters of Credit, with respect to such Lender’s obligation to reimburse US Issuing Lenders, and with respect to such Lender’s right to receive payments of the applicable Letter of Credit Fees, and with respect to all other computations and other matters related to the US Letters of Credit, the percentage obtained by dividing (i) the US Revolving Loan Exposure of such Lender, by (ii) the aggregate US Revolving Loan Exposure of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if all of the US Revolving Loans have been repaid in full and all US Revolver Commitments have been terminated, but US Letters of Credit remain outstanding, Pro Rata Share under this clause shall be the percentage obtained by dividing (A) the US Letter of Credit Exposure of such Lender, by (B) the US Letter of Credit Exposure of all Lenders,</w:t>
      </w:r>
    </w:p>
    <w:p>
      <w:pPr>
        <w:spacing w:after="0" w:line="70" w:lineRule="exact"/>
        <w:rPr>
          <w:rFonts w:ascii="Arial" w:cs="Arial" w:eastAsia="Arial" w:hAnsi="Arial"/>
          <w:sz w:val="17"/>
          <w:szCs w:val="17"/>
          <w:color w:val="auto"/>
        </w:rPr>
      </w:pPr>
    </w:p>
    <w:p>
      <w:pPr>
        <w:ind w:left="-20" w:firstLine="921"/>
        <w:spacing w:after="0" w:line="255" w:lineRule="auto"/>
        <w:tabs>
          <w:tab w:leader="none" w:pos="113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a Lender’s obligation to participate in the Canadian Letters of Credit, with respect to such Lender’s obligation to reimburse Canadian Issuing Lender, and with respect to such Lender’s right to receive payments of the applicable Letter of Credit Fees, and with respect to all other computations and other matters related to the Canadian Letters of Credit, the Dollar Equivalent of the percentage obtained by dividing (i) the Canadian Revolving Loan Exposure of such Lender by (ii) the aggregate Canadian Revolving Loan Exposure of all Lenders; provided, that if all of the Canadian Revolving Loans have been repaid in full and all Canadian Revolver Commitments have been terminated, but Canadian Letters of Credit remain outstanding, Pro Rata Share under this clause shall be the percentage obtained by dividing (A) the Canadian Letter of Credit Exposure of such Lender, by (B) the Canadian Letter of Credit Exposure of all Lenders,</w:t>
      </w:r>
    </w:p>
    <w:p>
      <w:pPr>
        <w:spacing w:after="0" w:line="81" w:lineRule="exact"/>
        <w:rPr>
          <w:rFonts w:ascii="Arial" w:cs="Arial" w:eastAsia="Arial" w:hAnsi="Arial"/>
          <w:sz w:val="18"/>
          <w:szCs w:val="18"/>
          <w:color w:val="auto"/>
        </w:rPr>
      </w:pPr>
    </w:p>
    <w:p>
      <w:pPr>
        <w:ind w:left="-20" w:right="60" w:firstLine="921"/>
        <w:spacing w:after="0" w:line="293" w:lineRule="auto"/>
        <w:tabs>
          <w:tab w:leader="none" w:pos="11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respect to a Lender’s obligation to participate in the UK Letters of Credit, with respect to such Lender’s obligation to reimburse UK Issuing Lender, and with respect to such Lender’s right to receive payments of the applicable Letter of Credit Fees, and with respect to all other computations and other matters related to the UK Letters of Credit, the Dollar Equivalent of the percentage obtained by dividing (i) the UK Revolving Loan Exposure of such Lender by (ii) the aggregate UK Revolving Loan Exposure of all Lenders; provided, that if all of the UK Revolving Loans have been repaid in full and all UK Revolver Commitments have been terminated, but UK Letters of Credit remain outstanding, Pro Rata Share under this clause shall be the percentage obtained by dividing (A) the UK Letter of Credit Exposure of such Lender, by (B) the UK Letter of Credit Exposure of all Lenders, and</w:t>
      </w:r>
    </w:p>
    <w:p>
      <w:pPr>
        <w:spacing w:after="0" w:line="56" w:lineRule="exact"/>
        <w:rPr>
          <w:rFonts w:ascii="Arial" w:cs="Arial" w:eastAsia="Arial" w:hAnsi="Arial"/>
          <w:sz w:val="16"/>
          <w:szCs w:val="16"/>
          <w:color w:val="auto"/>
        </w:rPr>
      </w:pPr>
    </w:p>
    <w:p>
      <w:pPr>
        <w:ind w:left="-20" w:right="120" w:firstLine="921"/>
        <w:spacing w:after="0" w:line="297" w:lineRule="auto"/>
        <w:tabs>
          <w:tab w:leader="none" w:pos="114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with respect to all other matters and for all other matters as to a particular Lender (including the indemnification obligations arising under </w:t>
      </w:r>
      <w:r>
        <w:rPr>
          <w:rFonts w:ascii="Arial" w:cs="Arial" w:eastAsia="Arial" w:hAnsi="Arial"/>
          <w:sz w:val="16"/>
          <w:szCs w:val="16"/>
          <w:u w:val="single" w:color="auto"/>
          <w:color w:val="auto"/>
        </w:rPr>
        <w:t>Section 15.7</w:t>
      </w:r>
      <w:r>
        <w:rPr>
          <w:rFonts w:ascii="Arial" w:cs="Arial" w:eastAsia="Arial" w:hAnsi="Arial"/>
          <w:sz w:val="16"/>
          <w:szCs w:val="16"/>
          <w:color w:val="auto"/>
        </w:rPr>
        <w:t xml:space="preserve"> of this Agreement), the Dollar Equivalent of the percentage obtained by dividing (i) the Revolving Loan Exposure of such Lender, by (ii) the aggregate Revolving Loan Exposure of all Lenders, in any such case as the applicable percentage may be adjusted by assignments permitted pursuant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if all of the Loans have been repaid in full and all Commitments have been terminated, Pro Rata Share under this clause shall be the percentage obtained by dividing (A) the Letter of Credit Exposure of such Lender, by (B) the Letter of Credit Exposure of all Lenders.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60" w:top="274" w:right="259" w:bottom="1440" w:gutter="0" w:footer="0" w:header="0"/>
        </w:sectPr>
      </w:pPr>
    </w:p>
    <w:bookmarkStart w:id="73" w:name="page74"/>
    <w:bookmarkEnd w:id="7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Protective Advances</w:t>
      </w:r>
      <w:r>
        <w:rPr>
          <w:rFonts w:ascii="Arial" w:cs="Arial" w:eastAsia="Arial" w:hAnsi="Arial"/>
          <w:sz w:val="16"/>
          <w:szCs w:val="16"/>
          <w:color w:val="auto"/>
        </w:rPr>
        <w:t>” means the US Protective Advances, UK Protective Advances and/or the Canadian Protective Advances, as the context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and refers to any Equity Interests issued by Parent (and not by one or more of its Subsidiaries) that is not a Disqualified Equity Interest.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means:</w:t>
      </w:r>
    </w:p>
    <w:p>
      <w:pPr>
        <w:spacing w:after="0" w:line="117" w:lineRule="exact"/>
        <w:rPr>
          <w:sz w:val="20"/>
          <w:szCs w:val="20"/>
          <w:color w:val="auto"/>
        </w:rPr>
      </w:pPr>
    </w:p>
    <w:p>
      <w:pPr>
        <w:ind w:left="1160" w:hanging="239"/>
        <w:spacing w:after="0"/>
        <w:tabs>
          <w:tab w:leader="none" w:pos="11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Lender which is beneficially entitled to interest payable to that Lender in respect of an advance under a Loan Document and is:</w:t>
      </w:r>
    </w:p>
    <w:p>
      <w:pPr>
        <w:spacing w:after="0" w:line="128" w:lineRule="exact"/>
        <w:rPr>
          <w:rFonts w:ascii="Arial" w:cs="Arial" w:eastAsia="Arial" w:hAnsi="Arial"/>
          <w:sz w:val="17"/>
          <w:szCs w:val="17"/>
          <w:color w:val="auto"/>
        </w:rPr>
      </w:pPr>
    </w:p>
    <w:p>
      <w:pPr>
        <w:ind w:left="1700" w:hanging="208"/>
        <w:spacing w:after="0"/>
        <w:tabs>
          <w:tab w:leader="none" w:pos="1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Lender:</w:t>
      </w:r>
    </w:p>
    <w:p>
      <w:pPr>
        <w:spacing w:after="0" w:line="117" w:lineRule="exact"/>
        <w:rPr>
          <w:rFonts w:ascii="Arial" w:cs="Arial" w:eastAsia="Arial" w:hAnsi="Arial"/>
          <w:sz w:val="18"/>
          <w:szCs w:val="18"/>
          <w:color w:val="auto"/>
        </w:rPr>
      </w:pPr>
    </w:p>
    <w:p>
      <w:pPr>
        <w:ind w:right="60" w:firstLine="1948"/>
        <w:spacing w:after="0" w:line="264" w:lineRule="auto"/>
        <w:tabs>
          <w:tab w:leader="none" w:pos="2235" w:val="left"/>
        </w:tabs>
        <w:numPr>
          <w:ilvl w:val="2"/>
          <w:numId w:val="51"/>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73" w:lineRule="exact"/>
        <w:rPr>
          <w:rFonts w:ascii="Arial" w:cs="Arial" w:eastAsia="Arial" w:hAnsi="Arial"/>
          <w:sz w:val="18"/>
          <w:szCs w:val="18"/>
          <w:color w:val="auto"/>
        </w:rPr>
      </w:pPr>
    </w:p>
    <w:p>
      <w:pPr>
        <w:ind w:right="80" w:firstLine="1948"/>
        <w:spacing w:after="0" w:line="264" w:lineRule="auto"/>
        <w:tabs>
          <w:tab w:leader="none" w:pos="2225"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respect of an advance made under a Loan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73" w:lineRule="exact"/>
        <w:rPr>
          <w:rFonts w:ascii="Arial" w:cs="Arial" w:eastAsia="Arial" w:hAnsi="Arial"/>
          <w:sz w:val="18"/>
          <w:szCs w:val="18"/>
          <w:color w:val="auto"/>
        </w:rPr>
      </w:pPr>
    </w:p>
    <w:p>
      <w:pPr>
        <w:ind w:left="1760" w:hanging="268"/>
        <w:spacing w:after="0"/>
        <w:tabs>
          <w:tab w:leader="none" w:pos="1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117" w:lineRule="exact"/>
        <w:rPr>
          <w:rFonts w:ascii="Arial" w:cs="Arial" w:eastAsia="Arial" w:hAnsi="Arial"/>
          <w:sz w:val="18"/>
          <w:szCs w:val="18"/>
          <w:color w:val="auto"/>
        </w:rPr>
      </w:pPr>
    </w:p>
    <w:p>
      <w:pPr>
        <w:ind w:left="2240" w:hanging="292"/>
        <w:spacing w:after="0"/>
        <w:tabs>
          <w:tab w:leader="none" w:pos="22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117" w:lineRule="exact"/>
        <w:rPr>
          <w:rFonts w:ascii="Arial" w:cs="Arial" w:eastAsia="Arial" w:hAnsi="Arial"/>
          <w:sz w:val="18"/>
          <w:szCs w:val="18"/>
          <w:color w:val="auto"/>
        </w:rPr>
      </w:pPr>
    </w:p>
    <w:p>
      <w:pPr>
        <w:ind w:left="2240" w:hanging="292"/>
        <w:spacing w:after="0"/>
        <w:tabs>
          <w:tab w:leader="none" w:pos="22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17" w:lineRule="exact"/>
        <w:rPr>
          <w:rFonts w:ascii="Arial" w:cs="Arial" w:eastAsia="Arial" w:hAnsi="Arial"/>
          <w:sz w:val="18"/>
          <w:szCs w:val="18"/>
          <w:color w:val="auto"/>
        </w:rPr>
      </w:pPr>
    </w:p>
    <w:p>
      <w:pPr>
        <w:ind w:left="2540" w:hanging="136"/>
        <w:spacing w:after="0"/>
        <w:tabs>
          <w:tab w:leader="none" w:pos="2540" w:val="left"/>
        </w:tabs>
        <w:numPr>
          <w:ilvl w:val="3"/>
          <w:numId w:val="51"/>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117" w:lineRule="exact"/>
        <w:rPr>
          <w:rFonts w:ascii="Arial" w:cs="Arial" w:eastAsia="Arial" w:hAnsi="Arial"/>
          <w:sz w:val="18"/>
          <w:szCs w:val="18"/>
          <w:color w:val="auto"/>
        </w:rPr>
      </w:pPr>
    </w:p>
    <w:p>
      <w:pPr>
        <w:ind w:right="140" w:firstLine="2404"/>
        <w:spacing w:after="0" w:line="264" w:lineRule="auto"/>
        <w:tabs>
          <w:tab w:leader="none" w:pos="2586" w:val="left"/>
        </w:tabs>
        <w:numPr>
          <w:ilvl w:val="3"/>
          <w:numId w:val="51"/>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73" w:lineRule="exact"/>
        <w:rPr>
          <w:rFonts w:ascii="Arial" w:cs="Arial" w:eastAsia="Arial" w:hAnsi="Arial"/>
          <w:sz w:val="18"/>
          <w:szCs w:val="18"/>
          <w:color w:val="auto"/>
        </w:rPr>
      </w:pPr>
    </w:p>
    <w:p>
      <w:pPr>
        <w:ind w:firstLine="1948"/>
        <w:spacing w:after="0" w:line="264" w:lineRule="auto"/>
        <w:tabs>
          <w:tab w:leader="none" w:pos="2225" w:val="left"/>
        </w:tabs>
        <w:numPr>
          <w:ilvl w:val="2"/>
          <w:numId w:val="51"/>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274" w:right="319" w:bottom="1440" w:gutter="0" w:footer="0" w:header="0"/>
        </w:sectPr>
      </w:pPr>
    </w:p>
    <w:bookmarkStart w:id="74" w:name="page75"/>
    <w:bookmarkEnd w:id="74"/>
    <w:p>
      <w:pPr>
        <w:ind w:left="1800" w:hanging="308"/>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Treaty Lender; or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Lender which is a building society (as defined for the purposes of section 880 of the ITA) making an advance under a Loan Document.</w:t>
      </w:r>
    </w:p>
    <w:p>
      <w:pPr>
        <w:spacing w:after="0" w:line="248"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any estates or interests in real or Scottish heritable property now owned or hereafter acquired by any Loan Party or one of its Subsidiaries and the improvements thereto.</w:t>
      </w:r>
    </w:p>
    <w:p>
      <w:pPr>
        <w:spacing w:after="0" w:line="170"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xml:space="preserve">” means (a) the Real Property identified on </w:t>
      </w:r>
      <w:r>
        <w:rPr>
          <w:rFonts w:ascii="Arial" w:cs="Arial" w:eastAsia="Arial" w:hAnsi="Arial"/>
          <w:sz w:val="18"/>
          <w:szCs w:val="18"/>
          <w:u w:val="single" w:color="auto"/>
          <w:color w:val="auto"/>
        </w:rPr>
        <w:t>Schedule R-1</w:t>
      </w:r>
      <w:r>
        <w:rPr>
          <w:rFonts w:ascii="Arial" w:cs="Arial" w:eastAsia="Arial" w:hAnsi="Arial"/>
          <w:sz w:val="18"/>
          <w:szCs w:val="18"/>
          <w:color w:val="auto"/>
        </w:rPr>
        <w:t xml:space="preserve"> to this Agreement, and (b) any Real Property hereafter acquired by any Loan Party or one of its Subsidiaries with a fair market value in excess of $12,500,000.</w:t>
      </w:r>
    </w:p>
    <w:p>
      <w:pPr>
        <w:spacing w:after="0" w:line="17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 Reserves</w:t>
      </w:r>
      <w:r>
        <w:rPr>
          <w:rFonts w:ascii="Arial" w:cs="Arial" w:eastAsia="Arial" w:hAnsi="Arial"/>
          <w:sz w:val="18"/>
          <w:szCs w:val="18"/>
          <w:color w:val="auto"/>
        </w:rPr>
        <w:t xml:space="preserve">” means, as of any date of determination, without duplication, those reserves that Agent deems necessary or appropriate, in its Permitted Discretion and subject to </w:t>
      </w:r>
      <w:r>
        <w:rPr>
          <w:rFonts w:ascii="Arial" w:cs="Arial" w:eastAsia="Arial" w:hAnsi="Arial"/>
          <w:sz w:val="18"/>
          <w:szCs w:val="18"/>
          <w:u w:val="single" w:color="auto"/>
          <w:color w:val="auto"/>
        </w:rPr>
        <w:t>Section 2.1(e)</w:t>
      </w:r>
      <w:r>
        <w:rPr>
          <w:rFonts w:ascii="Arial" w:cs="Arial" w:eastAsia="Arial" w:hAnsi="Arial"/>
          <w:sz w:val="18"/>
          <w:szCs w:val="18"/>
          <w:color w:val="auto"/>
        </w:rPr>
        <w:t>, to establish and maintain (including Landlord Reserves for books and records locations and reserves for rebates, discounts, warranty claims, and returns) with respect to the Eligible Accounts, the Maximum Revolver Amount, the UK Maximum Revolver Amount or the Canadian Maximum Revolver Amount.</w:t>
      </w:r>
    </w:p>
    <w:p>
      <w:pPr>
        <w:spacing w:after="0" w:line="18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w:t>
      </w:r>
      <w:r>
        <w:rPr>
          <w:rFonts w:ascii="Arial" w:cs="Arial" w:eastAsia="Arial" w:hAnsi="Arial"/>
          <w:sz w:val="18"/>
          <w:szCs w:val="18"/>
          <w:color w:val="auto"/>
        </w:rPr>
        <w:t>” means information that is inscribed on a tangible medium or that is stored in an electronic or other medium and is retrievable in perceivable form.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Period</w:t>
      </w:r>
      <w:r>
        <w:rPr>
          <w:rFonts w:ascii="Arial" w:cs="Arial" w:eastAsia="Arial" w:hAnsi="Arial"/>
          <w:sz w:val="18"/>
          <w:szCs w:val="18"/>
          <w:color w:val="auto"/>
        </w:rPr>
        <w:t>” has the meaning set forth in the definition of EBITDA.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means refinancings, renewals, or extensions of Indebtedness so long as:</w:t>
      </w:r>
    </w:p>
    <w:p>
      <w:pPr>
        <w:spacing w:after="0" w:line="117" w:lineRule="exact"/>
        <w:rPr>
          <w:sz w:val="20"/>
          <w:szCs w:val="20"/>
          <w:color w:val="auto"/>
        </w:rPr>
      </w:pPr>
    </w:p>
    <w:p>
      <w:pPr>
        <w:ind w:right="100" w:firstLine="921"/>
        <w:spacing w:after="0" w:line="264" w:lineRule="auto"/>
        <w:tabs>
          <w:tab w:leader="none" w:pos="11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refinancings, renewals, or extensions do not result in an increase in the principal amount of the Indebtedness so refinanced, renewed, or extended, other than by the amount of premiums paid thereon and the fees and expenses incurred in connection therewith and by the amount of unfunded commitments with respect thereto,</w:t>
      </w:r>
    </w:p>
    <w:p>
      <w:pPr>
        <w:spacing w:after="0" w:line="73" w:lineRule="exact"/>
        <w:rPr>
          <w:rFonts w:ascii="Arial" w:cs="Arial" w:eastAsia="Arial" w:hAnsi="Arial"/>
          <w:sz w:val="18"/>
          <w:szCs w:val="18"/>
          <w:color w:val="auto"/>
        </w:rPr>
      </w:pPr>
    </w:p>
    <w:p>
      <w:pPr>
        <w:ind w:right="380" w:firstLine="921"/>
        <w:spacing w:after="0" w:line="264"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refinancings, renewals, or extensions do not result in a shortening of the final stated maturity or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spacing w:after="0" w:line="73" w:lineRule="exact"/>
        <w:rPr>
          <w:rFonts w:ascii="Arial" w:cs="Arial" w:eastAsia="Arial" w:hAnsi="Arial"/>
          <w:sz w:val="18"/>
          <w:szCs w:val="18"/>
          <w:color w:val="auto"/>
        </w:rPr>
      </w:pPr>
    </w:p>
    <w:p>
      <w:pPr>
        <w:ind w:right="380" w:firstLine="921"/>
        <w:spacing w:after="0" w:line="264" w:lineRule="auto"/>
        <w:tabs>
          <w:tab w:leader="none" w:pos="11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w:t>
      </w:r>
    </w:p>
    <w:p>
      <w:pPr>
        <w:spacing w:after="0" w:line="73"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75" w:name="page76"/>
    <w:bookmarkEnd w:id="75"/>
    <w:p>
      <w:pPr>
        <w:ind w:left="1160" w:hanging="239"/>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Indebtedness that is refinanced, renewed or extended was unsecured, such refinancing, renewal or extension shall be unsecured, and</w:t>
      </w:r>
    </w:p>
    <w:p>
      <w:pPr>
        <w:spacing w:after="0" w:line="140" w:lineRule="exact"/>
        <w:rPr>
          <w:rFonts w:ascii="Arial" w:cs="Arial" w:eastAsia="Arial" w:hAnsi="Arial"/>
          <w:sz w:val="16"/>
          <w:szCs w:val="16"/>
          <w:color w:val="auto"/>
        </w:rPr>
      </w:pPr>
    </w:p>
    <w:p>
      <w:pPr>
        <w:ind w:right="120" w:firstLine="921"/>
        <w:spacing w:after="0" w:line="259" w:lineRule="auto"/>
        <w:tabs>
          <w:tab w:leader="none" w:pos="11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Indebtedness that is refinanced, renewed, or extended was secured (i) such refinancing, renewal, or extension shall be secured by substantially the same or less collateral as secured such refinanced, renewed or extended Indebtedness on terms no less favorable to Agent or the Lender Group and (ii) the Liens securing such refinancing, renewal or extension shall not have a priority more senior than the Liens securing such Indebtedness that is refinanced, renewed or extended.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13.1(h)</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13.1(h)</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8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Remedial Action</w:t>
      </w:r>
      <w:r>
        <w:rPr>
          <w:rFonts w:ascii="Arial" w:cs="Arial" w:eastAsia="Arial" w:hAnsi="Arial"/>
          <w:sz w:val="17"/>
          <w:szCs w:val="17"/>
          <w:color w:val="auto"/>
        </w:rPr>
        <w:t>” means all actions required by Environmental Laws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15.16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or holding more than 50% of the sum of the aggregate Dollar Equivalent Revolving Loan Exposure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Revolving Loan Exposure of any Defaulting Lender shall be disregarded in the determination of the Required Lenders, and (ii) at any time there are two or more Lenders (who are not Affiliates of one another or Defaulting Lenders), “Required Lenders” must include at least two Lenders (who are not Affiliates of one another).</w:t>
      </w:r>
    </w:p>
    <w:p>
      <w:pPr>
        <w:spacing w:after="0" w:line="18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Reserves</w:t>
      </w:r>
      <w:r>
        <w:rPr>
          <w:rFonts w:ascii="Arial" w:cs="Arial" w:eastAsia="Arial" w:hAnsi="Arial"/>
          <w:sz w:val="18"/>
          <w:szCs w:val="18"/>
          <w:color w:val="auto"/>
        </w:rPr>
        <w:t xml:space="preserve">” means, as of any date of determination, Inventory Reserves, Receivables Reserves, Bank Product Reserves, Canadian Priority Payables Reserves and those other reserves that Agent deems necessary or appropriate, in its Permitted Discretion and subject to </w:t>
      </w:r>
      <w:r>
        <w:rPr>
          <w:rFonts w:ascii="Arial" w:cs="Arial" w:eastAsia="Arial" w:hAnsi="Arial"/>
          <w:sz w:val="18"/>
          <w:szCs w:val="18"/>
          <w:u w:val="single" w:color="auto"/>
          <w:color w:val="auto"/>
        </w:rPr>
        <w:t>Section 2.1(e)</w:t>
      </w:r>
      <w:r>
        <w:rPr>
          <w:rFonts w:ascii="Arial" w:cs="Arial" w:eastAsia="Arial" w:hAnsi="Arial"/>
          <w:sz w:val="18"/>
          <w:szCs w:val="18"/>
          <w:color w:val="auto"/>
        </w:rPr>
        <w:t>, to establish and maintain (including reserves with respect to (a) sums that any Loan Party or its Subsidiaries are required to pay under any Section of this Agreement or any other Loan Document (such as taxes, assessments, insurance premiums, or, in the case of leased assets, rents or other amounts payable under such leases) and has failed to pay, (b) currency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6" w:name="page77"/>
    <w:bookmarkEnd w:id="76"/>
    <w:p>
      <w:pPr>
        <w:ind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fluctuations, (c) amounts owing by any Loan Party or its Subsidiaries to any Person to the extent secured by a Lien on, or trust or deemed trust over, any of the Collateral (other than a Permitted Lien), which Lien, trust or deemed trust, in the Permitted Discretion of Agent likely would have a priority superior to the Agent’s Liens (such as Liens, trusts or deemed trusts in favor of landlords, warehousemen, carriers, mechanics, materialmen, laborers, or suppliers, or Liens or trusts or deemed trusts for ad valorem, excise, sales, or other taxes where given priority under applicable law) in and to such item of the Collateral,</w:t>
      </w:r>
    </w:p>
    <w:p>
      <w:pPr>
        <w:spacing w:after="0" w:line="2" w:lineRule="exact"/>
        <w:rPr>
          <w:sz w:val="20"/>
          <w:szCs w:val="20"/>
          <w:color w:val="auto"/>
        </w:rPr>
      </w:pPr>
    </w:p>
    <w:p>
      <w:pPr>
        <w:ind w:right="200" w:firstLine="8"/>
        <w:spacing w:after="0" w:line="271"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amounts that could become due to the administrator of any Insolvency Proceeding of a UK Loan Party which would have priority over Agent’s fixed or floating charge on Collateral, and (e) amounts that could become due to any unsecured creditors in any Insolvency Proceeding of a UK Loan Party which would have priority over Agent’s fixed or floating charge on the Collateral but in any event not to exceed any statutory maximum prescribed amount from time to time) with respect to the US Borrowing Base, the UK Borrowing Base, the Canadian Borrowing Base, the Maximum Revolver Amount, the UK Maximum Revolver Amount or the Canadian Maximum Revolver Amount.</w:t>
      </w:r>
    </w:p>
    <w:p>
      <w:pPr>
        <w:spacing w:after="0" w:line="179"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declaration or payment of any dividend or the making of any other payment or distribution, directly or indirectly, on account of Equity Interests issued by Parent or any of its Subsidiaries (including any payment in connection with any merger, amalgamation or consolidation involving Parent) or to the direct or indirect holders of Equity Interests issued by Parent or any of its Subsidiaries in their capacity as such (other than dividends or distributions payable in Qualified Equity Interests issued by Parent or any of its Subsidiaries), or (b) any purchase, redemption, making of any sinking fund or similar payment, or other acquisition or retirement for value (including in connection with any merger, amalgamation or consolidation involving Parent) any Equity Interests issued by Parent or any of its Subsidiaries, or (c) any making of any payment to retire, or to obtain the surrender of, any outstanding warrants, options, or other rights to acquire Equity Interests of Parent now or hereafter outstanding.</w:t>
      </w:r>
    </w:p>
    <w:p>
      <w:pPr>
        <w:spacing w:after="0" w:line="16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Revolving Loan denominated in Canadian Dollars or Sterling, each of the following: (i) each date of a Borrowing of such Revolving Loan, (ii) each date of a continuation of such Revolving Loan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and (iii) such additional dates as Agent shall determine or the Required Lenders shall require, (b) with respect to any Letter of Credit denominated in Canadian Dollars or Sterling, each of the following: (i) each date of issuance of such Letter of Credit, (ii) each date of an amendment of such Letter of Credit having the effect of increasing the amount thereof, (iii) each date of any payment by an Issuing Lender under such Letter of Credit, and (iv) such additional dates as Agent or an Issuing Lender shall determine or the Required Lenders shall require, and (c) with respect to any other Obligations denominated in Canadian Dollars or Sterling, each date as Agent shall determine unless otherwise prescribed in this Agreement or any other Loan Documents.</w:t>
      </w:r>
    </w:p>
    <w:p>
      <w:pPr>
        <w:spacing w:after="0" w:line="16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Commitment</w:t>
      </w:r>
      <w:r>
        <w:rPr>
          <w:rFonts w:ascii="Arial" w:cs="Arial" w:eastAsia="Arial" w:hAnsi="Arial"/>
          <w:sz w:val="18"/>
          <w:szCs w:val="18"/>
          <w:color w:val="auto"/>
        </w:rPr>
        <w:t>” means the US Revolver Commitments, the UK Revolver Commitments and/or the Canadian Revolver Commitments, as the context requires.</w:t>
      </w:r>
    </w:p>
    <w:p>
      <w:pPr>
        <w:spacing w:after="0" w:line="170" w:lineRule="exact"/>
        <w:rPr>
          <w:sz w:val="20"/>
          <w:szCs w:val="20"/>
          <w:color w:val="auto"/>
        </w:rPr>
      </w:pPr>
    </w:p>
    <w:p>
      <w:pPr>
        <w:jc w:val="center"/>
        <w:ind w:left="520" w:right="6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Usage</w:t>
      </w:r>
      <w:r>
        <w:rPr>
          <w:rFonts w:ascii="Arial" w:cs="Arial" w:eastAsia="Arial" w:hAnsi="Arial"/>
          <w:sz w:val="18"/>
          <w:szCs w:val="18"/>
          <w:color w:val="auto"/>
        </w:rPr>
        <w:t>” means the US Revolver Usage, the UK Revolver Usage and/or the Canadian Revolver Usage, as the context requires. -66-</w:t>
      </w:r>
    </w:p>
    <w:p>
      <w:pPr>
        <w:sectPr>
          <w:pgSz w:w="11900" w:h="16838" w:orient="portrait"/>
          <w:cols w:equalWidth="0" w:num="1">
            <w:col w:w="11380"/>
          </w:cols>
          <w:pgMar w:left="240" w:top="274" w:right="279" w:bottom="1440" w:gutter="0" w:footer="0" w:header="0"/>
        </w:sectPr>
      </w:pPr>
    </w:p>
    <w:bookmarkStart w:id="77" w:name="page78"/>
    <w:bookmarkEnd w:id="7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that has a Revolving Loan Exposure or Letter of Credit Exposure.</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Exposure</w:t>
      </w:r>
      <w:r>
        <w:rPr>
          <w:rFonts w:ascii="Arial" w:cs="Arial" w:eastAsia="Arial" w:hAnsi="Arial"/>
          <w:sz w:val="18"/>
          <w:szCs w:val="18"/>
          <w:color w:val="auto"/>
        </w:rPr>
        <w:t>” means the US Revolving Loan Exposure, the UK Revolver Exposure and/or the Canadian Revolving Loan Exposure, as the context requires.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a US Revolving Loan, a UK Revolving Loan and/or a Canadian Revolving Loan, as the context requires.</w:t>
      </w:r>
    </w:p>
    <w:p>
      <w:pPr>
        <w:spacing w:after="0" w:line="225"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Entity</w:t>
      </w:r>
      <w:r>
        <w:rPr>
          <w:rFonts w:ascii="Arial" w:cs="Arial" w:eastAsia="Arial" w:hAnsi="Arial"/>
          <w:sz w:val="18"/>
          <w:szCs w:val="18"/>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or territory sanctions program administered and enforced by OFAC or other relevant Governmental Authority.</w:t>
      </w:r>
    </w:p>
    <w:p>
      <w:pPr>
        <w:spacing w:after="0" w:line="18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71"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Government of Canada,</w:t>
      </w:r>
    </w:p>
    <w:p>
      <w:pPr>
        <w:spacing w:after="0" w:line="2" w:lineRule="exact"/>
        <w:rPr>
          <w:sz w:val="20"/>
          <w:szCs w:val="20"/>
          <w:color w:val="auto"/>
        </w:rPr>
      </w:pPr>
    </w:p>
    <w:p>
      <w:pPr>
        <w:ind w:right="220" w:firstLine="8"/>
        <w:spacing w:after="0" w:line="261"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European Union or any European Union member state, (e) Her Majesty’s Treasury of the United Kingdom, or (f) any other Governmental Authority with jurisdiction over any Loan Party or any of their respective Subsidiaries or Affiliates.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has the meaning specified therefor in the definition of Domestic Cash Equivalents.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and any successor thereto.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means a securities account (as that term is defined in the Code).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and any successor statute.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8" w:name="page79"/>
    <w:bookmarkEnd w:id="78"/>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the US Security Agreement, one of the UK Security Documents and/or the Canadian Security Agreement.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2.3(e)(i)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2.3(e)(i)</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with respect to any Person as of any date of determination, that (a) at fair valuations, the sum of such Person’s debts (including contingent liabilities) is less than all of such Person’s assets, (b) such Person is not engaged or about to engage in a transaction for which the remaining assets of such Person are unreasonably small in relation to the transaction or for which the property remaining with such Person is an unreasonably small capital,</w:t>
      </w:r>
    </w:p>
    <w:p>
      <w:pPr>
        <w:ind w:firstLine="8"/>
        <w:spacing w:after="0" w:line="270" w:lineRule="auto"/>
        <w:tabs>
          <w:tab w:leader="none" w:pos="245"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such Person has not incurred and does not intend to incur, or reasonably believe that it will incur, debts beyond its ability to pay such debts as they become due (whether at maturity or otherwise), and (d) such Person is “solvent” or not “insolvent” or “deemed unable to pay its debts”, as applicable within the meaning given those terms and similar terms under applicable laws relating to bankruptcy, insolvency, fraudulent transfers and conveyances. For purposes of subclauses (a) to (c)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9" w:lineRule="exact"/>
        <w:rPr>
          <w:sz w:val="20"/>
          <w:szCs w:val="20"/>
          <w:color w:val="auto"/>
        </w:rPr>
      </w:pPr>
    </w:p>
    <w:p>
      <w:pPr>
        <w:jc w:val="both"/>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 Event of Default under any of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8.2(a)(i)</w:t>
      </w:r>
      <w:r>
        <w:rPr>
          <w:rFonts w:ascii="Arial" w:cs="Arial" w:eastAsia="Arial" w:hAnsi="Arial"/>
          <w:sz w:val="18"/>
          <w:szCs w:val="18"/>
          <w:color w:val="auto"/>
        </w:rPr>
        <w:t xml:space="preserve"> (solely as the result of a failure to deliver any of the items described in, and in accordance with, clauses (a), (b), (c) or (d) of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8.12</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State</w:t>
      </w:r>
      <w:r>
        <w:rPr>
          <w:rFonts w:ascii="Arial" w:cs="Arial" w:eastAsia="Arial" w:hAnsi="Arial"/>
          <w:sz w:val="18"/>
          <w:szCs w:val="18"/>
          <w:color w:val="auto"/>
        </w:rPr>
        <w:t>” means any one of (a) the United States, (b) Canada and (c) the United Kingdom.</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Permitted Acquisition, prepayment of Indebtedness, Permitted Intercompany Advance of the type described in clause (e) of the definition thereof, Permitted Investment of the type described in clause (s) of the definition thereof or Restricted Payment (or declaration of any prepayment or Restricted Payment).</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means, for a currency, the rate determined by Agent to be the rate quoted by Wells Fargo acting in such capacity as the spot rate for the purchase by Wells Fargo of such currency with another currency through its principal foreign exchange trading office at approximately 11:00 a.m. (New York time)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that Agent may obtain such spot rate from another financial institution designated by Agent if Wells Fargo acting in such capacity does not have as of the date of determination a spot buying rate for any such currency.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79" w:name="page80"/>
    <w:bookmarkEnd w:id="79"/>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Standard Letter of Credit Practice</w:t>
      </w:r>
      <w:r>
        <w:rPr>
          <w:rFonts w:ascii="Arial" w:cs="Arial" w:eastAsia="Arial" w:hAnsi="Arial"/>
          <w:sz w:val="18"/>
          <w:szCs w:val="18"/>
          <w:color w:val="auto"/>
        </w:rPr>
        <w:t>” means, for each Issuing Lender, any domestic or foreign law or letter of credit practices applicable in the city in which such Issuing Lender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Equivalent</w:t>
      </w:r>
      <w:r>
        <w:rPr>
          <w:rFonts w:ascii="Arial" w:cs="Arial" w:eastAsia="Arial" w:hAnsi="Arial"/>
          <w:sz w:val="18"/>
          <w:szCs w:val="18"/>
          <w:color w:val="auto"/>
        </w:rPr>
        <w:t>” means, at any time, with respect to any amount denominated in Dollars, the equivalent amount thereof in Sterling as determined by Agent at such time on the basis of the Spot Rate (determined in respect of the most recent Revaluation Date or such other date as determined by Agent) for the purchase of Sterling with Dollars.</w:t>
      </w:r>
    </w:p>
    <w:p>
      <w:pPr>
        <w:spacing w:after="0" w:line="181"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company, partnership, limited liability company, unlimited liability company or other entity in which that Person directly or indirectly owns or controls the Equity Interests having ordinary voting power to elect a majority of the Board of Directors of such corporation, partnership, limited liability company, or other entity.</w:t>
      </w:r>
    </w:p>
    <w:p>
      <w:pPr>
        <w:spacing w:after="0" w:line="181" w:lineRule="exact"/>
        <w:rPr>
          <w:sz w:val="20"/>
          <w:szCs w:val="20"/>
          <w:color w:val="auto"/>
        </w:rPr>
      </w:pPr>
    </w:p>
    <w:p>
      <w:pPr>
        <w:ind w:right="3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Supermajority Lenders</w:t>
      </w:r>
      <w:r>
        <w:rPr>
          <w:rFonts w:ascii="Arial" w:cs="Arial" w:eastAsia="Arial" w:hAnsi="Arial"/>
          <w:sz w:val="17"/>
          <w:szCs w:val="17"/>
          <w:color w:val="auto"/>
        </w:rPr>
        <w:t xml:space="preserve">” means, at any time, Revolving Lenders having or holding more than 66 2/3% of the aggregate Dollar Equivalent of Revolving Loan Exposure of all Revolving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Revolving Loan Exposure of any Defaulting Lender shall be disregarded in the determination of the Supermajority Lenders, and (ii) at any time there are two or more Revolving Lenders (who are not Affiliates of one another), “Supermajority Lenders” must include at least two Revolving Lenders (who are not Affiliates of one another or Defaulting Lenders).</w:t>
      </w:r>
    </w:p>
    <w:p>
      <w:pPr>
        <w:spacing w:after="0" w:line="17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Lender</w:t>
      </w:r>
      <w:r>
        <w:rPr>
          <w:rFonts w:ascii="Arial" w:cs="Arial" w:eastAsia="Arial" w:hAnsi="Arial"/>
          <w:sz w:val="18"/>
          <w:szCs w:val="18"/>
          <w:color w:val="auto"/>
        </w:rPr>
        <w:t>” means the US Swing Lender, the UK Swing Lender and/or the Canadian Swing Lender, as the context requires.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Loan</w:t>
      </w:r>
      <w:r>
        <w:rPr>
          <w:rFonts w:ascii="Arial" w:cs="Arial" w:eastAsia="Arial" w:hAnsi="Arial"/>
          <w:sz w:val="18"/>
          <w:szCs w:val="18"/>
          <w:color w:val="auto"/>
        </w:rPr>
        <w:t>” means the US Swing Loan, the UK Swing Loan and/or the Canadian Swing Loan, as the context requires.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Loan Exposure</w:t>
      </w:r>
      <w:r>
        <w:rPr>
          <w:rFonts w:ascii="Arial" w:cs="Arial" w:eastAsia="Arial" w:hAnsi="Arial"/>
          <w:sz w:val="16"/>
          <w:szCs w:val="16"/>
          <w:color w:val="auto"/>
        </w:rPr>
        <w:t>” means the US Swing Exposure, the UK Swing Loan Exposure and/or the Canadian Swing Exposure, as the context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11" w:lineRule="exact"/>
        <w:rPr>
          <w:sz w:val="20"/>
          <w:szCs w:val="20"/>
          <w:color w:val="auto"/>
        </w:rPr>
      </w:pPr>
    </w:p>
    <w:p>
      <w:pPr>
        <w:ind w:right="6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124"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Confirmation</w:t>
      </w:r>
      <w:r>
        <w:rPr>
          <w:rFonts w:ascii="Arial" w:cs="Arial" w:eastAsia="Arial" w:hAnsi="Arial"/>
          <w:sz w:val="18"/>
          <w:szCs w:val="18"/>
          <w:color w:val="auto"/>
        </w:rPr>
        <w:t>” means a confirmation by a Lender that the person beneficially entitled to interest payable to that Lender in respect of an advance under a Loan Document is either: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80" w:name="page81"/>
    <w:bookmarkEnd w:id="80"/>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company resident in the United Kingdom for United Kingdom tax purposes; or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117" w:lineRule="exact"/>
        <w:rPr>
          <w:rFonts w:ascii="Arial" w:cs="Arial" w:eastAsia="Arial" w:hAnsi="Arial"/>
          <w:sz w:val="18"/>
          <w:szCs w:val="18"/>
          <w:color w:val="auto"/>
        </w:rPr>
      </w:pPr>
    </w:p>
    <w:p>
      <w:pPr>
        <w:jc w:val="both"/>
        <w:ind w:firstLine="1492"/>
        <w:spacing w:after="0" w:line="264" w:lineRule="auto"/>
        <w:tabs>
          <w:tab w:leader="none" w:pos="174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73" w:lineRule="exact"/>
        <w:rPr>
          <w:rFonts w:ascii="Arial" w:cs="Arial" w:eastAsia="Arial" w:hAnsi="Arial"/>
          <w:sz w:val="18"/>
          <w:szCs w:val="18"/>
          <w:color w:val="auto"/>
        </w:rPr>
      </w:pPr>
    </w:p>
    <w:p>
      <w:pPr>
        <w:jc w:val="both"/>
        <w:ind w:right="260" w:firstLine="921"/>
        <w:spacing w:after="0" w:line="264" w:lineRule="auto"/>
        <w:tabs>
          <w:tab w:leader="none" w:pos="11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Credit</w:t>
      </w:r>
      <w:r>
        <w:rPr>
          <w:rFonts w:ascii="Arial" w:cs="Arial" w:eastAsia="Arial" w:hAnsi="Arial"/>
          <w:sz w:val="18"/>
          <w:szCs w:val="18"/>
          <w:color w:val="auto"/>
        </w:rPr>
        <w:t>” means a credit against, relief or remission for, or repayment of, any Taxes.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Deduction</w:t>
      </w:r>
      <w:r>
        <w:rPr>
          <w:rFonts w:ascii="Arial" w:cs="Arial" w:eastAsia="Arial" w:hAnsi="Arial"/>
          <w:sz w:val="18"/>
          <w:szCs w:val="18"/>
          <w:color w:val="auto"/>
        </w:rPr>
        <w:t>” means a deduction or withholding for or on account of Taxes from a payment under a Loan Document.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Payment</w:t>
      </w:r>
      <w:r>
        <w:rPr>
          <w:rFonts w:ascii="Arial" w:cs="Arial" w:eastAsia="Arial" w:hAnsi="Arial"/>
          <w:sz w:val="16"/>
          <w:szCs w:val="16"/>
          <w:color w:val="auto"/>
        </w:rPr>
        <w:t xml:space="preserve">” means either the increase in a payment made by a Loan Party to a Lender under </w:t>
      </w:r>
      <w:r>
        <w:rPr>
          <w:rFonts w:ascii="Arial" w:cs="Arial" w:eastAsia="Arial" w:hAnsi="Arial"/>
          <w:sz w:val="16"/>
          <w:szCs w:val="16"/>
          <w:u w:val="single" w:color="auto"/>
          <w:color w:val="auto"/>
        </w:rPr>
        <w:t>Section 16.5</w:t>
      </w:r>
      <w:r>
        <w:rPr>
          <w:rFonts w:ascii="Arial" w:cs="Arial" w:eastAsia="Arial" w:hAnsi="Arial"/>
          <w:sz w:val="16"/>
          <w:szCs w:val="16"/>
          <w:color w:val="auto"/>
        </w:rPr>
        <w:t xml:space="preserve"> or a payment under </w:t>
      </w:r>
      <w:r>
        <w:rPr>
          <w:rFonts w:ascii="Arial" w:cs="Arial" w:eastAsia="Arial" w:hAnsi="Arial"/>
          <w:sz w:val="16"/>
          <w:szCs w:val="16"/>
          <w:u w:val="single" w:color="auto"/>
          <w:color w:val="auto"/>
        </w:rPr>
        <w:t>Section 16.6</w:t>
      </w:r>
      <w:r>
        <w:rPr>
          <w:rFonts w:ascii="Arial" w:cs="Arial" w:eastAsia="Arial" w:hAnsi="Arial"/>
          <w:sz w:val="16"/>
          <w:szCs w:val="16"/>
          <w:color w:val="auto"/>
        </w:rPr>
        <w:t>.</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Treaty</w:t>
      </w:r>
      <w:r>
        <w:rPr>
          <w:rFonts w:ascii="Arial" w:cs="Arial" w:eastAsia="Arial" w:hAnsi="Arial"/>
          <w:sz w:val="18"/>
          <w:szCs w:val="18"/>
          <w:color w:val="auto"/>
        </w:rPr>
        <w:t>” has the meaning specified therefore in the definition of “Treaty State”.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Treaty Lender</w:t>
      </w:r>
      <w:r>
        <w:rPr>
          <w:rFonts w:ascii="Arial" w:cs="Arial" w:eastAsia="Arial" w:hAnsi="Arial"/>
          <w:sz w:val="18"/>
          <w:szCs w:val="18"/>
          <w:color w:val="auto"/>
        </w:rPr>
        <w:t>” means a Lender which:</w:t>
      </w:r>
    </w:p>
    <w:p>
      <w:pPr>
        <w:spacing w:after="0" w:line="117" w:lineRule="exact"/>
        <w:rPr>
          <w:sz w:val="20"/>
          <w:szCs w:val="20"/>
          <w:color w:val="auto"/>
        </w:rPr>
      </w:pPr>
    </w:p>
    <w:p>
      <w:pPr>
        <w:ind w:left="1160" w:hanging="239"/>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treated as a resident of a Treaty State for the purposes of the Treaty;</w:t>
      </w:r>
    </w:p>
    <w:p>
      <w:pPr>
        <w:spacing w:after="0" w:line="117" w:lineRule="exact"/>
        <w:rPr>
          <w:rFonts w:ascii="Arial" w:cs="Arial" w:eastAsia="Arial" w:hAnsi="Arial"/>
          <w:sz w:val="18"/>
          <w:szCs w:val="18"/>
          <w:color w:val="auto"/>
        </w:rPr>
      </w:pPr>
    </w:p>
    <w:p>
      <w:pPr>
        <w:ind w:firstLine="921"/>
        <w:spacing w:after="0" w:line="277" w:lineRule="auto"/>
        <w:tabs>
          <w:tab w:leader="none" w:pos="11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does not carry on a business in the United Kingdom through a permanent establishment with which that Lender’s participation in the Loans is effectively connected; and</w:t>
      </w:r>
    </w:p>
    <w:p>
      <w:pPr>
        <w:spacing w:after="0" w:line="62" w:lineRule="exact"/>
        <w:rPr>
          <w:rFonts w:ascii="Arial" w:cs="Arial" w:eastAsia="Arial" w:hAnsi="Arial"/>
          <w:sz w:val="18"/>
          <w:szCs w:val="18"/>
          <w:color w:val="auto"/>
        </w:rPr>
      </w:pPr>
    </w:p>
    <w:p>
      <w:pPr>
        <w:ind w:right="280" w:firstLine="921"/>
        <w:spacing w:after="0" w:line="277" w:lineRule="auto"/>
        <w:tabs>
          <w:tab w:leader="none" w:pos="11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qualifies for full exemption from UK income tax on payments of interest to or for the account of the Lender or Participant pursuant to any Loan Document, subject to the completion of necessary procedural formalities.</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u w:val="single" w:color="auto"/>
          <w:color w:val="auto"/>
        </w:rPr>
        <w:t>Treaty</w:t>
      </w:r>
      <w:r>
        <w:rPr>
          <w:rFonts w:ascii="Arial" w:cs="Arial" w:eastAsia="Arial" w:hAnsi="Arial"/>
          <w:sz w:val="18"/>
          <w:szCs w:val="18"/>
          <w:color w:val="auto"/>
        </w:rPr>
        <w:t>”) with the United Kingdom which makes provision for full exemption from tax imposed by the United Kingdom on interest.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74" w:right="279" w:bottom="1440" w:gutter="0" w:footer="0" w:header="0"/>
        </w:sectPr>
      </w:pPr>
    </w:p>
    <w:bookmarkStart w:id="81" w:name="page82"/>
    <w:bookmarkEnd w:id="81"/>
    <w:p>
      <w:pPr>
        <w:ind w:right="2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2007 Revision, International Chamber of Commerce Publication No. 600 and any version or revision thereof accepted by an Issuing Lender for use.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Availability</w:t>
      </w:r>
      <w:r>
        <w:rPr>
          <w:rFonts w:ascii="Arial" w:cs="Arial" w:eastAsia="Arial" w:hAnsi="Arial"/>
          <w:sz w:val="18"/>
          <w:szCs w:val="18"/>
          <w:color w:val="auto"/>
        </w:rPr>
        <w:t xml:space="preserve">” means, as of any date of determination, the Dollar Equivalent amount that UK Borrowers are entitled to borrow as UK Revolving Loans under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of the Agreement (after giving effect to the then outstanding UK Revolver Usage, Canadian Revolver Usage and US Revolver Usage).</w:t>
      </w:r>
    </w:p>
    <w:p>
      <w:pPr>
        <w:spacing w:after="0" w:line="181" w:lineRule="exact"/>
        <w:rPr>
          <w:sz w:val="20"/>
          <w:szCs w:val="20"/>
          <w:color w:val="auto"/>
        </w:rPr>
      </w:pPr>
    </w:p>
    <w:p>
      <w:pPr>
        <w:jc w:val="both"/>
        <w:ind w:right="2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Bank Product</w:t>
      </w:r>
      <w:r>
        <w:rPr>
          <w:rFonts w:ascii="Arial" w:cs="Arial" w:eastAsia="Arial" w:hAnsi="Arial"/>
          <w:sz w:val="16"/>
          <w:szCs w:val="16"/>
          <w:color w:val="auto"/>
        </w:rPr>
        <w:t>” means any one or more of the following financial products or accommodations extended to a UK Loan Party by a Bank Product Provider: (a) credit cards (including commercial credit cards (including so-called “purchase cards”, “procurement cards” or “</w:t>
      </w:r>
      <w:r>
        <w:rPr>
          <w:rFonts w:ascii="Arial" w:cs="Arial" w:eastAsia="Arial" w:hAnsi="Arial"/>
          <w:sz w:val="16"/>
          <w:szCs w:val="16"/>
          <w:u w:val="single" w:color="auto"/>
          <w:color w:val="auto"/>
        </w:rPr>
        <w:t>P-cards</w:t>
      </w:r>
      <w:r>
        <w:rPr>
          <w:rFonts w:ascii="Arial" w:cs="Arial" w:eastAsia="Arial" w:hAnsi="Arial"/>
          <w:sz w:val="16"/>
          <w:szCs w:val="16"/>
          <w:color w:val="auto"/>
        </w:rPr>
        <w:t>”)), (b) credit card processing services, (c) debit cards, (d) stored value cards, (e) Cash Management Services, or (f) transactions under Hedge Agreements.</w:t>
      </w:r>
    </w:p>
    <w:p>
      <w:pPr>
        <w:spacing w:after="0" w:line="14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Bank Product Agreements</w:t>
      </w:r>
      <w:r>
        <w:rPr>
          <w:rFonts w:ascii="Arial" w:cs="Arial" w:eastAsia="Arial" w:hAnsi="Arial"/>
          <w:sz w:val="18"/>
          <w:szCs w:val="18"/>
          <w:color w:val="auto"/>
        </w:rPr>
        <w:t>” means those agreements entered into from time to time by a UK Loan Party with a Bank Product Provider in connection with the obtaining of any of the UK Bank Products.</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Bank Product Obligations</w:t>
      </w:r>
      <w:r>
        <w:rPr>
          <w:rFonts w:ascii="Arial" w:cs="Arial" w:eastAsia="Arial" w:hAnsi="Arial"/>
          <w:sz w:val="17"/>
          <w:szCs w:val="17"/>
          <w:color w:val="auto"/>
        </w:rPr>
        <w:t xml:space="preserve">” means (a) all obligations, liabilities, reimbursement obligations, fees, or expenses owing by UK Loan Parties to any Bank Product Provider pursuant to or evidenced by a UK Bank Product Agreement and irrespective of whether for the payment of money, whether direct or indirect, absolute or contingent, due or to become due, now existing or hereafter arising, (b) all UK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UK Bank Products provided by such Bank Product Provider to UK Loan Parties; </w:t>
      </w:r>
      <w:r>
        <w:rPr>
          <w:rFonts w:ascii="Arial" w:cs="Arial" w:eastAsia="Arial" w:hAnsi="Arial"/>
          <w:sz w:val="17"/>
          <w:szCs w:val="17"/>
          <w:u w:val="single" w:color="auto"/>
          <w:color w:val="auto"/>
        </w:rPr>
        <w:t>provided</w:t>
      </w:r>
      <w:r>
        <w:rPr>
          <w:rFonts w:ascii="Arial" w:cs="Arial" w:eastAsia="Arial" w:hAnsi="Arial"/>
          <w:sz w:val="17"/>
          <w:szCs w:val="17"/>
          <w:color w:val="auto"/>
        </w:rPr>
        <w:t>, in order for any item described in clauses (a), (b), or (c) above, as applicable, to constitute “UK Bank Product Obligations”, if the applicable Bank Product Provider is any Person other than Wells Fargo or its Affiliates, then the applicable UK Bank Product must have been provided on or after the Closing Date and Agent shall have received a Bank Product Provider Agreement within 10 days after the date of the provision of the applicable UK Bank Product to a UK Loan Party.</w:t>
      </w:r>
    </w:p>
    <w:p>
      <w:pPr>
        <w:spacing w:after="0" w:line="182"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Bank Product Reserves</w:t>
      </w:r>
      <w:r>
        <w:rPr>
          <w:rFonts w:ascii="Arial" w:cs="Arial" w:eastAsia="Arial" w:hAnsi="Arial"/>
          <w:sz w:val="17"/>
          <w:szCs w:val="17"/>
          <w:color w:val="auto"/>
        </w:rPr>
        <w:t>” means, as of any date of determination, those reserves, without duplication of any other reserve, that Agent deems necessary or appropriate in its Permitted Discretion to establish (based upon the Bank Product Providers’ reasonable determination of the liabilities and obligations of UK Loan Parties in respect of UK Bank Product Obligations) in respect of UK Bank Products then provided or outstanding.</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Borrowers</w:t>
      </w:r>
      <w:r>
        <w:rPr>
          <w:rFonts w:ascii="Arial" w:cs="Arial" w:eastAsia="Arial" w:hAnsi="Arial"/>
          <w:sz w:val="18"/>
          <w:szCs w:val="18"/>
          <w:color w:val="auto"/>
        </w:rPr>
        <w:t>” has the meaning specified therefor in the preamble to the Agreement.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Borrowing</w:t>
      </w:r>
      <w:r>
        <w:rPr>
          <w:rFonts w:ascii="Arial" w:cs="Arial" w:eastAsia="Arial" w:hAnsi="Arial"/>
          <w:sz w:val="18"/>
          <w:szCs w:val="18"/>
          <w:color w:val="auto"/>
        </w:rPr>
        <w:t>” means a borrowing consisting of UK Revolving Loans made on the same day by the Lenders (or Agent on behalf thereof), or by UK Swing Lender in the case of a UK Swing Loan, or by Agent in the case of a UK Extraordinary Advance.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274" w:right="319" w:bottom="1440" w:gutter="0" w:footer="0" w:header="0"/>
        </w:sectPr>
      </w:pPr>
    </w:p>
    <w:bookmarkStart w:id="82" w:name="page83"/>
    <w:bookmarkEnd w:id="8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UK Borrowing Base</w:t>
      </w:r>
      <w:r>
        <w:rPr>
          <w:rFonts w:ascii="Arial" w:cs="Arial" w:eastAsia="Arial" w:hAnsi="Arial"/>
          <w:sz w:val="18"/>
          <w:szCs w:val="18"/>
          <w:color w:val="auto"/>
        </w:rPr>
        <w:t>” means, as of any date of determination, the Dollar Equivalent amount of:</w:t>
      </w:r>
    </w:p>
    <w:p>
      <w:pPr>
        <w:spacing w:after="0" w:line="117" w:lineRule="exact"/>
        <w:rPr>
          <w:sz w:val="20"/>
          <w:szCs w:val="20"/>
          <w:color w:val="auto"/>
        </w:rPr>
      </w:pPr>
    </w:p>
    <w:p>
      <w:pPr>
        <w:ind w:right="140" w:firstLine="921"/>
        <w:spacing w:after="0" w:line="342" w:lineRule="auto"/>
        <w:tabs>
          <w:tab w:leader="none" w:pos="1158"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90% of the amount of Eligible Accounts of each UK Loan Party owing by Account Debtors that are rated (or whose parent is rated) Baa3 or higher from Moody’s or BBB- or higher from S&amp;P,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the amount, if any, of the UK Dilution Reserve attributable to such Eligible Accounts, </w:t>
      </w:r>
      <w:r>
        <w:rPr>
          <w:rFonts w:ascii="Arial" w:cs="Arial" w:eastAsia="Arial" w:hAnsi="Arial"/>
          <w:sz w:val="16"/>
          <w:szCs w:val="16"/>
          <w:i w:val="1"/>
          <w:iCs w:val="1"/>
          <w:u w:val="single" w:color="auto"/>
          <w:color w:val="auto"/>
        </w:rPr>
        <w:t>plus</w:t>
      </w:r>
    </w:p>
    <w:p>
      <w:pPr>
        <w:spacing w:after="0" w:line="15" w:lineRule="exact"/>
        <w:rPr>
          <w:rFonts w:ascii="Arial" w:cs="Arial" w:eastAsia="Arial" w:hAnsi="Arial"/>
          <w:sz w:val="16"/>
          <w:szCs w:val="16"/>
          <w:color w:val="auto"/>
        </w:rPr>
      </w:pPr>
    </w:p>
    <w:p>
      <w:pPr>
        <w:ind w:firstLine="921"/>
        <w:spacing w:after="0" w:line="277" w:lineRule="auto"/>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85% of the amount of Eligible Accounts of each UK Loan Party owing by Account Debtors other than those described in the foregoing clause (a),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UK Dilution Reserve attributable to such Eligible Accounts, </w:t>
      </w:r>
      <w:r>
        <w:rPr>
          <w:rFonts w:ascii="Arial" w:cs="Arial" w:eastAsia="Arial" w:hAnsi="Arial"/>
          <w:sz w:val="18"/>
          <w:szCs w:val="18"/>
          <w:i w:val="1"/>
          <w:iCs w:val="1"/>
          <w:u w:val="single" w:color="auto"/>
          <w:color w:val="auto"/>
        </w:rPr>
        <w:t>plus</w:t>
      </w:r>
    </w:p>
    <w:p>
      <w:pPr>
        <w:spacing w:after="0" w:line="62" w:lineRule="exact"/>
        <w:rPr>
          <w:rFonts w:ascii="Arial" w:cs="Arial" w:eastAsia="Arial" w:hAnsi="Arial"/>
          <w:sz w:val="18"/>
          <w:szCs w:val="18"/>
          <w:color w:val="auto"/>
        </w:rPr>
      </w:pPr>
    </w:p>
    <w:p>
      <w:pPr>
        <w:ind w:right="120" w:firstLine="921"/>
        <w:spacing w:after="0" w:line="255"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lesser of (i) the product of 70% multiplied by the value (calculated at the lower of cost or market on a basis consistent with UK Loan Parties’ historical accounting practices) of Eligible Finished Goods Inventory of each UK Loan Party at such time, and (ii) the product of 85% multiplied by the Net Recovery Percentage identified in the most recent Acceptable Appraisal of Inventory, multiplied by the value (calculated at the lower of cost or market on a basis consistent with UK Loan Parties’ historical accounting practices) of Eligible Finished Goods Inventory of each UK Loan Party (such determination may be made as to different categories of Eligible Finished Goods Inventory based upon the Net Recovery Percentage applicable to such categories) at such time, </w:t>
      </w:r>
      <w:r>
        <w:rPr>
          <w:rFonts w:ascii="Arial" w:cs="Arial" w:eastAsia="Arial" w:hAnsi="Arial"/>
          <w:sz w:val="18"/>
          <w:szCs w:val="18"/>
          <w:i w:val="1"/>
          <w:iCs w:val="1"/>
          <w:u w:val="single" w:color="auto"/>
          <w:color w:val="auto"/>
        </w:rPr>
        <w:t>plus</w:t>
      </w:r>
    </w:p>
    <w:p>
      <w:pPr>
        <w:spacing w:after="0" w:line="85"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amount by which the US Borrowing Base at such time exceeds the sum of US Revolver Usage plus Canadian Revolver Usage predicated on clause (d) of the definition of Canadian Borrowing Base at such time, </w:t>
      </w:r>
      <w:r>
        <w:rPr>
          <w:rFonts w:ascii="Arial" w:cs="Arial" w:eastAsia="Arial" w:hAnsi="Arial"/>
          <w:sz w:val="18"/>
          <w:szCs w:val="18"/>
          <w:i w:val="1"/>
          <w:iCs w:val="1"/>
          <w:u w:val="single" w:color="auto"/>
          <w:color w:val="auto"/>
        </w:rPr>
        <w:t>minus</w:t>
      </w:r>
    </w:p>
    <w:p>
      <w:pPr>
        <w:spacing w:after="0" w:line="62"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without duplication, the aggregate amount of Receivables Reserves, Bank Product Reserves, Inventory Reserves, and other Reserves, in each case if any, established by Agent from time to time under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Designated Account</w:t>
      </w:r>
      <w:r>
        <w:rPr>
          <w:rFonts w:ascii="Arial" w:cs="Arial" w:eastAsia="Arial" w:hAnsi="Arial"/>
          <w:sz w:val="16"/>
          <w:szCs w:val="16"/>
          <w:color w:val="auto"/>
        </w:rPr>
        <w:t xml:space="preserve">” means the UK Deposit Account of a UK Borrower identified on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to the Agreement (or such other Deposit Account of a UK Borrower located at UK Designated Account Bank that has been designated as such, in writing, by a UK Borrower to Agent).</w:t>
      </w:r>
    </w:p>
    <w:p>
      <w:pPr>
        <w:spacing w:after="0" w:line="124"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Designated Account Bank</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Schedule D-2</w:t>
      </w:r>
      <w:r>
        <w:rPr>
          <w:rFonts w:ascii="Arial" w:cs="Arial" w:eastAsia="Arial" w:hAnsi="Arial"/>
          <w:sz w:val="18"/>
          <w:szCs w:val="18"/>
          <w:color w:val="auto"/>
        </w:rPr>
        <w:t xml:space="preserve"> to the Agreement (or such other bank that is located within the United Kingdom that has been designated as such, in writing, by a UK Borrower to Agent).</w:t>
      </w:r>
    </w:p>
    <w:p>
      <w:pPr>
        <w:spacing w:after="0" w:line="170"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Dilution</w:t>
      </w:r>
      <w:r>
        <w:rPr>
          <w:rFonts w:ascii="Arial" w:cs="Arial" w:eastAsia="Arial" w:hAnsi="Arial"/>
          <w:sz w:val="16"/>
          <w:szCs w:val="16"/>
          <w:color w:val="auto"/>
        </w:rPr>
        <w:t>” means, as of any date of determination, a percentage, based upon the experience of the immediately prior 12 months, that is the result of dividing (a) the Dollar Equivalent amount of bad debt write-downs, discounts, advertising allowances, credits, or other dilutive items with respect to UK Borrowers’ Accounts during such period, by (b) the Dollar Equivalent amount of UK Borrowers’ billings with respect to Accounts during such period.</w:t>
      </w:r>
    </w:p>
    <w:p>
      <w:pPr>
        <w:spacing w:after="0" w:line="147" w:lineRule="exact"/>
        <w:rPr>
          <w:sz w:val="20"/>
          <w:szCs w:val="20"/>
          <w:color w:val="auto"/>
        </w:rPr>
      </w:pPr>
    </w:p>
    <w:p>
      <w:pPr>
        <w:ind w:right="4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Dilution Reserve</w:t>
      </w:r>
      <w:r>
        <w:rPr>
          <w:rFonts w:ascii="Arial" w:cs="Arial" w:eastAsia="Arial" w:hAnsi="Arial"/>
          <w:sz w:val="16"/>
          <w:szCs w:val="16"/>
          <w:color w:val="auto"/>
        </w:rPr>
        <w:t>” means, as of any date of determination, an amount, without duplication of any other reserve, sufficient to reduce the advance rate against Eligible Accounts of UK Loan Parties by 1 percentage point for each percentage point by which Dilution is in excess of 5%.</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83" w:name="page84"/>
    <w:bookmarkEnd w:id="8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UK Extraordinary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2.3(d)(iii)</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Floating Rate</w:t>
      </w:r>
      <w:r>
        <w:rPr>
          <w:rFonts w:ascii="Arial" w:cs="Arial" w:eastAsia="Arial" w:hAnsi="Arial"/>
          <w:sz w:val="18"/>
          <w:szCs w:val="18"/>
          <w:color w:val="auto"/>
        </w:rPr>
        <w:t>” means, for any day, the rate of interest equal to the LIBOR Rate then in effect for delivery for a one month period, plus 1.00 percentage point.</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Guarantor</w:t>
      </w:r>
      <w:r>
        <w:rPr>
          <w:rFonts w:ascii="Arial" w:cs="Arial" w:eastAsia="Arial" w:hAnsi="Arial"/>
          <w:sz w:val="18"/>
          <w:szCs w:val="18"/>
          <w:color w:val="auto"/>
        </w:rPr>
        <w:t>” means (a) each Subsidiary of Parent (other than an Immaterial Subsidiary) organized under the laws of or incorporated in any jurisdiction in the United Kingdom, that is or becomes a guarantor of all or any part of the Foreign Obligations and (b) each other Person that guaranties all or a part of the Foreign Obligations pursuant to the UK Security Documents.</w:t>
      </w:r>
    </w:p>
    <w:p>
      <w:pPr>
        <w:spacing w:after="0" w:line="181"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Hedge Obligations</w:t>
      </w:r>
      <w:r>
        <w:rPr>
          <w:rFonts w:ascii="Arial" w:cs="Arial" w:eastAsia="Arial" w:hAnsi="Arial"/>
          <w:sz w:val="18"/>
          <w:szCs w:val="18"/>
          <w:color w:val="auto"/>
        </w:rPr>
        <w:t>” means any and all obligations or liabilities, whether absolute or contingent, due or to become due, now existing or hereafter arising, of any UK Loan Party arising under, owing pursuant to, or existing in respect of Hedge Agreements entered into with one or more of the Hedge Providers.</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Issuing Lender</w:t>
      </w:r>
      <w:r>
        <w:rPr>
          <w:rFonts w:ascii="Arial" w:cs="Arial" w:eastAsia="Arial" w:hAnsi="Arial"/>
          <w:sz w:val="18"/>
          <w:szCs w:val="18"/>
          <w:color w:val="auto"/>
        </w:rPr>
        <w:t>” means Wells Fargo and up to three other Lenders designated in writing to, and consented to by, the Agent (such consent not to be unreasonably withheld, conditioned or delayed) by the Administrative Borrower that agree, in such Lender’s sole discretion, to become a UK Issuing Lender for the purpose of issuing UK Letters of Credit.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Letter of Credit</w:t>
      </w:r>
      <w:r>
        <w:rPr>
          <w:rFonts w:ascii="Arial" w:cs="Arial" w:eastAsia="Arial" w:hAnsi="Arial"/>
          <w:sz w:val="17"/>
          <w:szCs w:val="17"/>
          <w:color w:val="auto"/>
        </w:rPr>
        <w:t>” means a letter of credit (as that term is defined in the Code) issued by UK Issuing Lender for the account of a UK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Letter of Credit Disbursement</w:t>
      </w:r>
      <w:r>
        <w:rPr>
          <w:rFonts w:ascii="Arial" w:cs="Arial" w:eastAsia="Arial" w:hAnsi="Arial"/>
          <w:sz w:val="18"/>
          <w:szCs w:val="18"/>
          <w:color w:val="auto"/>
        </w:rPr>
        <w:t>” means a payment made by UK Issuing Lender pursuant to a UK Letter of Credit.</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Letter of Credit Exposure</w:t>
      </w:r>
      <w:r>
        <w:rPr>
          <w:rFonts w:ascii="Arial" w:cs="Arial" w:eastAsia="Arial" w:hAnsi="Arial"/>
          <w:sz w:val="18"/>
          <w:szCs w:val="18"/>
          <w:color w:val="auto"/>
        </w:rPr>
        <w:t>” means, as of any date of determination with respect to any Lender, such Lender’s Pro Rata Share of the UK Letter of Credit Usage on such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Letter of Credit Usage</w:t>
      </w:r>
      <w:r>
        <w:rPr>
          <w:rFonts w:ascii="Arial" w:cs="Arial" w:eastAsia="Arial" w:hAnsi="Arial"/>
          <w:sz w:val="17"/>
          <w:szCs w:val="17"/>
          <w:color w:val="auto"/>
        </w:rPr>
        <w:t>” means, as of any date of determination, the aggregate undrawn amount of all outstanding UK Letters of Credit.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Loan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Loan Party</w:t>
      </w:r>
      <w:r>
        <w:rPr>
          <w:rFonts w:ascii="Arial" w:cs="Arial" w:eastAsia="Arial" w:hAnsi="Arial"/>
          <w:sz w:val="18"/>
          <w:szCs w:val="18"/>
          <w:color w:val="auto"/>
        </w:rPr>
        <w:t>” means any UK Borrower or any UK Guarantor organized under the laws of the United Kingdom.</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Maximum Revolver Amount</w:t>
      </w:r>
      <w:r>
        <w:rPr>
          <w:rFonts w:ascii="Arial" w:cs="Arial" w:eastAsia="Arial" w:hAnsi="Arial"/>
          <w:sz w:val="18"/>
          <w:szCs w:val="18"/>
          <w:color w:val="auto"/>
        </w:rPr>
        <w:t xml:space="preserve">” means $40,000,000, decreased by the amount of reductions in the UK Revolver Commitments made in accordance with </w:t>
      </w:r>
      <w:r>
        <w:rPr>
          <w:rFonts w:ascii="Arial" w:cs="Arial" w:eastAsia="Arial" w:hAnsi="Arial"/>
          <w:sz w:val="18"/>
          <w:szCs w:val="18"/>
          <w:u w:val="single" w:color="auto"/>
          <w:color w:val="auto"/>
        </w:rPr>
        <w:t>Sections 2.4(c)</w:t>
      </w:r>
      <w:r>
        <w:rPr>
          <w:rFonts w:ascii="Arial" w:cs="Arial" w:eastAsia="Arial" w:hAnsi="Arial"/>
          <w:sz w:val="18"/>
          <w:szCs w:val="18"/>
          <w:color w:val="auto"/>
        </w:rPr>
        <w:t xml:space="preserve"> of the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84" w:name="page85"/>
    <w:bookmarkEnd w:id="84"/>
    <w:p>
      <w:pPr>
        <w:ind w:right="5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UK Non-Bank Lender</w:t>
      </w:r>
      <w:r>
        <w:rPr>
          <w:rFonts w:ascii="Arial" w:cs="Arial" w:eastAsia="Arial" w:hAnsi="Arial"/>
          <w:sz w:val="18"/>
          <w:szCs w:val="18"/>
          <w:color w:val="auto"/>
        </w:rPr>
        <w:t>” means where a Lender becomes a party after the Closing Date, an assignee which gives a Tax Confirmation in the Assignment and Acceptance which it executes on becoming a party.</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Obligations</w:t>
      </w:r>
      <w:r>
        <w:rPr>
          <w:rFonts w:ascii="Arial" w:cs="Arial" w:eastAsia="Arial" w:hAnsi="Arial"/>
          <w:sz w:val="16"/>
          <w:szCs w:val="16"/>
          <w:color w:val="auto"/>
        </w:rPr>
        <w:t xml:space="preserve">” means (a) all loans (including UK Revolving Loans (inclusive of UK Extraordinary Advances and UK Swing Loans)), debts, principal, interest (including any interest that accrues after the commencement of an Insolvency Proceeding, regardless of whether allowed or allowable in whole or in part as a claim in any such Insolvency Proceeding), premiums, liabilities (including all amounts charged to the UK Loan Account pursuant to the Agreement), obligations (including indemnification obligations) of any UK Loan Party, fees (including the fees provided for in the Fee Letter) of any UK Loan Party, Lender Group Expenses (including any fees or expenses that accrue after the commencement of an Insolvency Proceeding, regardless of whether allowed or allowable in whole or in part as a claim in any such Insolvency Proceeding) of any UK Loan Party, guaranties of any UK Loan Party, and all covenants and duties of any other kind and description owing by any UK Loan Party arising out of, under, pursuant to, in connection with, or evidenced by the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UK Loan Party is required to pay or reimburse by the Loan Documents or by law or otherwise in connection with the Loan Documents, (b) all debts, liabilities, or obligations (including reimbursement and indemnification obligations, irrespective of whether contingent) owing by any UK Borrower or any other UK Loan Party to UK Issuing Lender now or hereafter arising from or in respect of a UK Letters of Credit, and (c) all UK Bank Product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UK Obligations shall not include Excluded Swap Obligations. Without limiting the generality of the foregoing, the UK Obligations under the Loan Documents include the obligation to pay (i) the principal of the UK Revolving Loans, (ii) interest accrued on the UK Revolving Loans, (iii) the amount necessary to reimburse UK Issuing Lender for amounts paid or payable pursuant to UK Letters of Credit, (iv) Letter of Credit commissions, charges, expenses, and fees, in each case in respect of UK Letters of Credit, (v) Lender Group Expenses of any UK Loan Party, (vi) fees payable by any UK Loan Party under the Agreement or any of the other Loan Documents, and (vii) indemnities and other amounts payable by any UK Loan Party under any Loan Document (excluding Excluded Swap Obligations). Any reference in the Agreement or in the Loan Documents to the UK Obligations shall include all or any portion thereof and any extensions, modifications, renewals, or alterations thereof, both prior and subsequent to any Insolvency Proceeding.</w:t>
      </w:r>
    </w:p>
    <w:p>
      <w:pPr>
        <w:spacing w:after="0" w:line="171"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Overadvance</w:t>
      </w:r>
      <w:r>
        <w:rPr>
          <w:rFonts w:ascii="Arial" w:cs="Arial" w:eastAsia="Arial" w:hAnsi="Arial"/>
          <w:sz w:val="18"/>
          <w:szCs w:val="18"/>
          <w:color w:val="auto"/>
        </w:rPr>
        <w:t xml:space="preserve">” means, as of any date of determination, that the UK Revolver Usage is greater than any of the limitations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Protective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Revolver Commitment</w:t>
      </w:r>
      <w:r>
        <w:rPr>
          <w:rFonts w:ascii="Arial" w:cs="Arial" w:eastAsia="Arial" w:hAnsi="Arial"/>
          <w:sz w:val="16"/>
          <w:szCs w:val="16"/>
          <w:color w:val="auto"/>
        </w:rPr>
        <w:t xml:space="preserve">” means, with respect to each Revolving Lender, its UK Revolver Commitment, and, with respect to all Revolving Lenders, their UK Revolver Commitments, in each case as set forth beside such Revolving Lender’s name under the applicable heading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to the Agreement or in the Assignment and Acceptance pursuant to which such Revolving Lender became a Revolving Lender under the Agreement, as such amounts may be reduced or increased from time to time pursuant to assignments made in accordance with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of the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85" w:name="page86"/>
    <w:bookmarkEnd w:id="85"/>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UK Revolver Usage</w:t>
      </w:r>
      <w:r>
        <w:rPr>
          <w:rFonts w:ascii="Arial" w:cs="Arial" w:eastAsia="Arial" w:hAnsi="Arial"/>
          <w:sz w:val="18"/>
          <w:szCs w:val="18"/>
          <w:color w:val="auto"/>
        </w:rPr>
        <w:t>” means, as of any date of determination, the sum of (a) the amount of outstanding UK Revolving Loans (inclusive of UK Swing Loans and UK Protective Advances), plus (b) the amount of the UK Letter of Credit Usage.</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Revolving Loan Exposure</w:t>
      </w:r>
      <w:r>
        <w:rPr>
          <w:rFonts w:ascii="Arial" w:cs="Arial" w:eastAsia="Arial" w:hAnsi="Arial"/>
          <w:sz w:val="18"/>
          <w:szCs w:val="18"/>
          <w:color w:val="auto"/>
        </w:rPr>
        <w:t>” means, with respect to any Revolving Lender, as of any date of determination (a) prior to the termination of the UK Revolver Commitments, the amount of such Lender’s UK Revolver Commitment, and (b) after the termination of the UK Revolver Commitments, the aggregate outstanding principal amount of the UK Revolving Loans of such Lender.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Revolving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Security Documents</w:t>
      </w:r>
      <w:r>
        <w:rPr>
          <w:rFonts w:ascii="Arial" w:cs="Arial" w:eastAsia="Arial" w:hAnsi="Arial"/>
          <w:sz w:val="16"/>
          <w:szCs w:val="16"/>
          <w:color w:val="auto"/>
        </w:rPr>
        <w:t>” means (i) one or more guarantees and debentures in favor of Agent charging all present and after-acquired property and proceeds thereof of the UK Loan Parties, (ii) one or more standard securities, assignations and/or charges in favor of Agent securing property and proceeds thereof as are located in Scotland or otherwise governed by Scots law, of the UK Loan Parties (iii) one or more share pledges in favor of Agent over Scottish shares of UK Loan Parties, (iv) one or more share mortgages in favor of Agent over shares of the UK Loan Parties, and (v) all other agreements, instruments and documents granting charges or security interests in or upon the assets of the UK Loan Parties to secure all or any portion of the Obligations.</w:t>
      </w:r>
    </w:p>
    <w:p>
      <w:pPr>
        <w:spacing w:after="0" w:line="15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Swing Lender</w:t>
      </w:r>
      <w:r>
        <w:rPr>
          <w:rFonts w:ascii="Arial" w:cs="Arial" w:eastAsia="Arial" w:hAnsi="Arial"/>
          <w:sz w:val="18"/>
          <w:szCs w:val="18"/>
          <w:color w:val="auto"/>
        </w:rPr>
        <w:t xml:space="preserve">” means Wells Fargo or any other Lender that, at the request of a UK Borrower and with the consent of Agent agrees, in such Lender’s sole discretion, to become the UK Swing Lender under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the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Swing Loan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Swing Loan Exposure</w:t>
      </w:r>
      <w:r>
        <w:rPr>
          <w:rFonts w:ascii="Arial" w:cs="Arial" w:eastAsia="Arial" w:hAnsi="Arial"/>
          <w:sz w:val="18"/>
          <w:szCs w:val="18"/>
          <w:color w:val="auto"/>
        </w:rPr>
        <w:t>” means, as of any date of determination with respect to any Lender, such Lender’s Pro Rata Share of the UK Swing Loans on such date.</w:t>
      </w:r>
    </w:p>
    <w:p>
      <w:pPr>
        <w:spacing w:after="0" w:line="1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Unfinanced Capital Expenditures</w:t>
      </w:r>
      <w:r>
        <w:rPr>
          <w:rFonts w:ascii="Arial" w:cs="Arial" w:eastAsia="Arial" w:hAnsi="Arial"/>
          <w:sz w:val="17"/>
          <w:szCs w:val="17"/>
          <w:color w:val="auto"/>
        </w:rPr>
        <w:t>” means Capital Expenditures (a) not financed with the proceeds of any incurrence of Indebtedness (other than the incurrence of any Revolving Loans), the proceeds of any sale or issuance of Equity Interests or equity contributions, the proceeds of any asset sale (other than the sale of Inventory in the ordinary course of business) or any insurance proceeds, and (b) that are not reimbursed by a third person (excluding any Loan Party or any of its Affiliates) in the period such expenditures are made pursuant to a written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Arab Emirates Dirham</w:t>
      </w:r>
      <w:r>
        <w:rPr>
          <w:rFonts w:ascii="Arial" w:cs="Arial" w:eastAsia="Arial" w:hAnsi="Arial"/>
          <w:sz w:val="18"/>
          <w:szCs w:val="18"/>
          <w:color w:val="auto"/>
        </w:rPr>
        <w:t>” means the legal tender of the United Arab Emirates.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86" w:name="page87"/>
    <w:bookmarkEnd w:id="86"/>
    <w:p>
      <w:pPr>
        <w:ind w:right="1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United Kingdom</w:t>
      </w:r>
      <w:r>
        <w:rPr>
          <w:rFonts w:ascii="Arial" w:cs="Arial" w:eastAsia="Arial" w:hAnsi="Arial"/>
          <w:sz w:val="18"/>
          <w:szCs w:val="18"/>
          <w:color w:val="auto"/>
        </w:rPr>
        <w:t>” and “</w:t>
      </w:r>
      <w:r>
        <w:rPr>
          <w:rFonts w:ascii="Arial" w:cs="Arial" w:eastAsia="Arial" w:hAnsi="Arial"/>
          <w:sz w:val="18"/>
          <w:szCs w:val="18"/>
          <w:u w:val="single" w:color="auto"/>
          <w:color w:val="auto"/>
        </w:rPr>
        <w:t>UK</w:t>
      </w:r>
      <w:r>
        <w:rPr>
          <w:rFonts w:ascii="Arial" w:cs="Arial" w:eastAsia="Arial" w:hAnsi="Arial"/>
          <w:sz w:val="18"/>
          <w:szCs w:val="18"/>
          <w:color w:val="auto"/>
        </w:rPr>
        <w:t>” means the United Kingdom of Great Britain and Northern Ireland, but, for the avoidance of doubt, excluding the Channel Islands and the Isle of Man.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Line Fee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Availability</w:t>
      </w:r>
      <w:r>
        <w:rPr>
          <w:rFonts w:ascii="Arial" w:cs="Arial" w:eastAsia="Arial" w:hAnsi="Arial"/>
          <w:sz w:val="16"/>
          <w:szCs w:val="16"/>
          <w:color w:val="auto"/>
        </w:rPr>
        <w:t xml:space="preserve">” means, as of any date of determination, the amount that US Borrowers are entitled to borrow as US Revolving Loans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the Agreement (after giving effect to the then outstanding US Revolver Usage, UK Revolver Usage and Canadian Revolver Usage).</w:t>
      </w:r>
    </w:p>
    <w:p>
      <w:pPr>
        <w:spacing w:after="0" w:line="12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 Product</w:t>
      </w:r>
      <w:r>
        <w:rPr>
          <w:rFonts w:ascii="Arial" w:cs="Arial" w:eastAsia="Arial" w:hAnsi="Arial"/>
          <w:sz w:val="18"/>
          <w:szCs w:val="18"/>
          <w:color w:val="auto"/>
        </w:rPr>
        <w:t>” means any one or more of the following financial products or accommodations extended to a Parent or its Subsidiaries (other than a Canadian Loan Party or a UK Loan Party) by a Bank Product Provider: (a) credit cards (including commercial credit cards (including so-called “purchase cards”, “procurement cards” or “P-cards”)), (b) credit card processing services, (c) debit cards, (d) stored value cards, (e) Cash Management Services, or (f) transactions under Hedge Agreements.</w:t>
      </w:r>
    </w:p>
    <w:p>
      <w:pPr>
        <w:spacing w:after="0" w:line="187" w:lineRule="exact"/>
        <w:rPr>
          <w:sz w:val="20"/>
          <w:szCs w:val="20"/>
          <w:color w:val="auto"/>
        </w:rPr>
      </w:pPr>
    </w:p>
    <w:p>
      <w:pPr>
        <w:ind w:right="2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Bank Product Agreements</w:t>
      </w:r>
      <w:r>
        <w:rPr>
          <w:rFonts w:ascii="Arial" w:cs="Arial" w:eastAsia="Arial" w:hAnsi="Arial"/>
          <w:sz w:val="17"/>
          <w:szCs w:val="17"/>
          <w:color w:val="auto"/>
        </w:rPr>
        <w:t>” means those agreements entered into from time to time by a Parent or its Subsidiaries (other than a Canadian Loan Party or a UK Loan Party) with a Bank Product Provider in connection with the obtaining of any of the US Bank Products.</w:t>
      </w:r>
    </w:p>
    <w:p>
      <w:pPr>
        <w:spacing w:after="0" w:line="147"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Bank Product Obligations</w:t>
      </w:r>
      <w:r>
        <w:rPr>
          <w:rFonts w:ascii="Arial" w:cs="Arial" w:eastAsia="Arial" w:hAnsi="Arial"/>
          <w:sz w:val="17"/>
          <w:szCs w:val="17"/>
          <w:color w:val="auto"/>
        </w:rPr>
        <w:t xml:space="preserve">” means (a) all obligations, liabilities, reimbursement obligations, fees, or expenses owing by a Parent or its Subsidiaries (other than a Canadian Loan Party or a UK Loan Party) to any Bank Product Provider pursuant to or evidenced by a US Bank Product Agreement and irrespective of whether for the payment of money, whether direct or indirect, absolute or contingent, due or to become due, now existing or hereafter arising, (b) all US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US Bank Products provided by such Bank Product Provider to a Parent or its Subsidiaries (other than a Canadian Loan Party or a UK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in order for any item described in clauses (a), (b) or (c) above, as applicable, to constitute “US Bank Product Obligations”, if the applicable Bank Product Provider is any Person other than Wells Fargo or its Affiliates, then the applicable US Bank Product must have been provided on or after the Closing Date and Agent shall have received a Bank Product Provider Agreement within 10 days after the date of the provision of the applicable US Bank Product to a Parent or its Subsidiaries (other than a Canadian Loan Party or a UK Loan Party).</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 Product Reserves</w:t>
      </w:r>
      <w:r>
        <w:rPr>
          <w:rFonts w:ascii="Arial" w:cs="Arial" w:eastAsia="Arial" w:hAnsi="Arial"/>
          <w:sz w:val="18"/>
          <w:szCs w:val="18"/>
          <w:color w:val="auto"/>
        </w:rPr>
        <w:t>” means, as of any date of determination, those reserves, without duplication of any other reserve, that Agent deems necessary or appropriate in its Permitted Discretion to establish (based upon the Bank Product Providers’ reasonable determination of the liabilities and obligations of Parents and their Subsidiaries (other than any Canadian Loan Party or a UK Loan Party) in respect of US Bank Product Obligations) in respect of US Bank Products then provided or outstanding.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74" w:right="279" w:bottom="1440" w:gutter="0" w:footer="0" w:header="0"/>
        </w:sectPr>
      </w:pPr>
    </w:p>
    <w:bookmarkStart w:id="87" w:name="page88"/>
    <w:bookmarkEnd w:id="87"/>
    <w:p>
      <w:pPr>
        <w:ind w:right="6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Base Rate</w:t>
      </w:r>
      <w:r>
        <w:rPr>
          <w:rFonts w:ascii="Arial" w:cs="Arial" w:eastAsia="Arial" w:hAnsi="Arial"/>
          <w:sz w:val="16"/>
          <w:szCs w:val="16"/>
          <w:color w:val="auto"/>
        </w:rPr>
        <w:t xml:space="preserve">” means the greatest of (a) the Federal Funds Rate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(b) the LIBOR Rate (which rate shall be calculated based upon an Interest Period of 1 month and shall be determined on a daily basis), plus 1 percentage point, and (c) the rate of interest announced, from time to time, within Wells Fargo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and “</w:t>
      </w:r>
      <w:r>
        <w:rPr>
          <w:rFonts w:ascii="Arial" w:cs="Arial" w:eastAsia="Arial" w:hAnsi="Arial"/>
          <w:sz w:val="18"/>
          <w:szCs w:val="18"/>
          <w:u w:val="single" w:color="auto"/>
          <w:color w:val="auto"/>
        </w:rPr>
        <w:t>US Borrowers</w:t>
      </w:r>
      <w:r>
        <w:rPr>
          <w:rFonts w:ascii="Arial" w:cs="Arial" w:eastAsia="Arial" w:hAnsi="Arial"/>
          <w:sz w:val="18"/>
          <w:szCs w:val="18"/>
          <w:color w:val="auto"/>
        </w:rPr>
        <w:t>” have the meaning specified therefor in the preamble to the Agreement.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Borrowing</w:t>
      </w:r>
      <w:r>
        <w:rPr>
          <w:rFonts w:ascii="Arial" w:cs="Arial" w:eastAsia="Arial" w:hAnsi="Arial"/>
          <w:sz w:val="18"/>
          <w:szCs w:val="18"/>
          <w:color w:val="auto"/>
        </w:rPr>
        <w:t>” means a borrowing consisting of US Revolving Loans made on the same day by the Lenders (or Agent on behalf thereof), or by US Swing Lender in the case of a US Swing Loan, or by Agent in the case of an US Extraordinary Advance.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Borrowing Base</w:t>
      </w:r>
      <w:r>
        <w:rPr>
          <w:rFonts w:ascii="Arial" w:cs="Arial" w:eastAsia="Arial" w:hAnsi="Arial"/>
          <w:sz w:val="18"/>
          <w:szCs w:val="18"/>
          <w:color w:val="auto"/>
        </w:rPr>
        <w:t>” means, as of any date of determination, the Dollar Equivalent amount of:</w:t>
      </w:r>
    </w:p>
    <w:p>
      <w:pPr>
        <w:spacing w:after="0" w:line="117" w:lineRule="exact"/>
        <w:rPr>
          <w:sz w:val="20"/>
          <w:szCs w:val="20"/>
          <w:color w:val="auto"/>
        </w:rPr>
      </w:pPr>
    </w:p>
    <w:p>
      <w:pPr>
        <w:ind w:right="160" w:firstLine="921"/>
        <w:spacing w:after="0" w:line="342" w:lineRule="auto"/>
        <w:tabs>
          <w:tab w:leader="none" w:pos="115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90% of the amount of Eligible Accounts of each US Loan Party owing by Account Debtors that are rated (or whose parent is rated) Baa3 or higher from Moody’s or BBB- or higher from S&amp;P,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the amount, if any, of the US Dilution Reserve attributable to such Eligible Accounts, </w:t>
      </w:r>
      <w:r>
        <w:rPr>
          <w:rFonts w:ascii="Arial" w:cs="Arial" w:eastAsia="Arial" w:hAnsi="Arial"/>
          <w:sz w:val="16"/>
          <w:szCs w:val="16"/>
          <w:i w:val="1"/>
          <w:iCs w:val="1"/>
          <w:u w:val="single" w:color="auto"/>
          <w:color w:val="auto"/>
        </w:rPr>
        <w:t>plus</w:t>
      </w:r>
    </w:p>
    <w:p>
      <w:pPr>
        <w:spacing w:after="0" w:line="15" w:lineRule="exact"/>
        <w:rPr>
          <w:rFonts w:ascii="Arial" w:cs="Arial" w:eastAsia="Arial" w:hAnsi="Arial"/>
          <w:sz w:val="16"/>
          <w:szCs w:val="16"/>
          <w:color w:val="auto"/>
        </w:rPr>
      </w:pPr>
    </w:p>
    <w:p>
      <w:pPr>
        <w:ind w:firstLine="921"/>
        <w:spacing w:after="0" w:line="277"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85% of the amount of Eligible Accounts of each US Loan Party owing by Account Debtors other than those described in the foregoing clause (a),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US Dilution Reserve attributable to such Eligible Accounts, </w:t>
      </w:r>
      <w:r>
        <w:rPr>
          <w:rFonts w:ascii="Arial" w:cs="Arial" w:eastAsia="Arial" w:hAnsi="Arial"/>
          <w:sz w:val="18"/>
          <w:szCs w:val="18"/>
          <w:i w:val="1"/>
          <w:iCs w:val="1"/>
          <w:u w:val="single" w:color="auto"/>
          <w:color w:val="auto"/>
        </w:rPr>
        <w:t>plus</w:t>
      </w:r>
    </w:p>
    <w:p>
      <w:pPr>
        <w:spacing w:after="0" w:line="62" w:lineRule="exact"/>
        <w:rPr>
          <w:rFonts w:ascii="Arial" w:cs="Arial" w:eastAsia="Arial" w:hAnsi="Arial"/>
          <w:sz w:val="18"/>
          <w:szCs w:val="18"/>
          <w:color w:val="auto"/>
        </w:rPr>
      </w:pPr>
    </w:p>
    <w:p>
      <w:pPr>
        <w:ind w:right="140" w:firstLine="921"/>
        <w:spacing w:after="0" w:line="255" w:lineRule="auto"/>
        <w:tabs>
          <w:tab w:leader="none" w:pos="11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lesser of (i) the product of 70% multiplied by the value (calculated at the lower of cost or market on a basis consistent with US Loan Parties’ historical accounting practices) of Eligible Finished Goods Inventory of each US Loan Party at such time, and (ii) the product of 85% multiplied by the Net Recovery Percentage identified in the most recent Acceptable Appraisal of Inventory, multiplied by the value (calculated at the lower of cost or market on a basis consistent with US Loan Parties’ historical accounting practices) of Eligible Finished Goods Inventory of each US Loan Party (such determination may be made as to different categories of Eligible Finished Goods Inventory based upon the Net Recovery Percentage applicable to such categories) at such time, </w:t>
      </w:r>
      <w:r>
        <w:rPr>
          <w:rFonts w:ascii="Arial" w:cs="Arial" w:eastAsia="Arial" w:hAnsi="Arial"/>
          <w:sz w:val="18"/>
          <w:szCs w:val="18"/>
          <w:i w:val="1"/>
          <w:iCs w:val="1"/>
          <w:u w:val="single" w:color="auto"/>
          <w:color w:val="auto"/>
        </w:rPr>
        <w:t>minus</w:t>
      </w:r>
    </w:p>
    <w:p>
      <w:pPr>
        <w:spacing w:after="0" w:line="85"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without duplication, the aggregate amount of Receivables Reserves, Bank Product Reserves, Inventory Reserves and other Reserves, in each case if any, established by Agent from time to time under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Copyright Security Agreement</w:t>
      </w:r>
      <w:r>
        <w:rPr>
          <w:rFonts w:ascii="Arial" w:cs="Arial" w:eastAsia="Arial" w:hAnsi="Arial"/>
          <w:sz w:val="18"/>
          <w:szCs w:val="18"/>
          <w:color w:val="auto"/>
        </w:rPr>
        <w:t>” has the meaning specified therefor in the US Security Agreement.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31" w:right="279" w:bottom="1440" w:gutter="0" w:footer="0" w:header="0"/>
        </w:sectPr>
      </w:pPr>
    </w:p>
    <w:bookmarkStart w:id="88" w:name="page89"/>
    <w:bookmarkEnd w:id="88"/>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US Designated Account</w:t>
      </w:r>
      <w:r>
        <w:rPr>
          <w:rFonts w:ascii="Arial" w:cs="Arial" w:eastAsia="Arial" w:hAnsi="Arial"/>
          <w:sz w:val="18"/>
          <w:szCs w:val="18"/>
          <w:color w:val="auto"/>
        </w:rPr>
        <w:t xml:space="preserve">” means the US Deposit Account identified on </w:t>
      </w:r>
      <w:r>
        <w:rPr>
          <w:rFonts w:ascii="Arial" w:cs="Arial" w:eastAsia="Arial" w:hAnsi="Arial"/>
          <w:sz w:val="18"/>
          <w:szCs w:val="18"/>
          <w:u w:val="single" w:color="auto"/>
          <w:color w:val="auto"/>
        </w:rPr>
        <w:t>Schedule D-3</w:t>
      </w:r>
      <w:r>
        <w:rPr>
          <w:rFonts w:ascii="Arial" w:cs="Arial" w:eastAsia="Arial" w:hAnsi="Arial"/>
          <w:sz w:val="18"/>
          <w:szCs w:val="18"/>
          <w:color w:val="auto"/>
        </w:rPr>
        <w:t xml:space="preserve"> to the Agreement (or such other Deposit Account located at US Designated Account Bank that has been designated as such, in writing, by Administrative Borrower to Agent).</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Designated Account Bank</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Schedule D-3</w:t>
      </w:r>
      <w:r>
        <w:rPr>
          <w:rFonts w:ascii="Arial" w:cs="Arial" w:eastAsia="Arial" w:hAnsi="Arial"/>
          <w:sz w:val="18"/>
          <w:szCs w:val="18"/>
          <w:color w:val="auto"/>
        </w:rPr>
        <w:t xml:space="preserve"> to the Agreement (or such other bank that is located within the United States that has been designated as such, in writing, by Administrative Borrower to Agent).</w:t>
      </w:r>
    </w:p>
    <w:p>
      <w:pPr>
        <w:spacing w:after="0" w:line="170"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Dilution</w:t>
      </w:r>
      <w:r>
        <w:rPr>
          <w:rFonts w:ascii="Arial" w:cs="Arial" w:eastAsia="Arial" w:hAnsi="Arial"/>
          <w:sz w:val="17"/>
          <w:szCs w:val="17"/>
          <w:color w:val="auto"/>
        </w:rPr>
        <w:t>” means, as of any date of determination, a percentage, based upon the experience of the immediately prior 12 months, that is the result of dividing the Dollar amount of (a) bad debt write-downs, discounts, advertising allowances, credits, or other dilutive items with respect to US Loan Parties’ Accounts during such period, by (b) US Loan Parties’ billings with respect to Accounts during such period.</w:t>
      </w:r>
    </w:p>
    <w:p>
      <w:pPr>
        <w:spacing w:after="0" w:line="166" w:lineRule="exact"/>
        <w:rPr>
          <w:sz w:val="20"/>
          <w:szCs w:val="20"/>
          <w:color w:val="auto"/>
        </w:rPr>
      </w:pPr>
    </w:p>
    <w:p>
      <w:pPr>
        <w:ind w:right="4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Dilution Reserve</w:t>
      </w:r>
      <w:r>
        <w:rPr>
          <w:rFonts w:ascii="Arial" w:cs="Arial" w:eastAsia="Arial" w:hAnsi="Arial"/>
          <w:sz w:val="16"/>
          <w:szCs w:val="16"/>
          <w:color w:val="auto"/>
        </w:rPr>
        <w:t>” means, as of any date of determination, an amount, without duplication of any other reserve, sufficient to reduce the advance rate against Eligible Accounts of US Loan Parties by 1 percentage point for each percentage point by which Dilution is in excess of 5%.</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Extraordinary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2.3(d)(iii)</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Guarantor</w:t>
      </w:r>
      <w:r>
        <w:rPr>
          <w:rFonts w:ascii="Arial" w:cs="Arial" w:eastAsia="Arial" w:hAnsi="Arial"/>
          <w:sz w:val="18"/>
          <w:szCs w:val="18"/>
          <w:color w:val="auto"/>
        </w:rPr>
        <w:t>” means (a) each Subsidiary of a US Borrower organized under the laws of a state of the United States or the District of Columbia (other than a US Borrower, an Excluded Subsidiary or an Immaterial Subsidiary) and (b) each other Person that guaranties all or a portion of the US Obligations pursuant to the US Security Agreement.</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Hedge Obligations</w:t>
      </w:r>
      <w:r>
        <w:rPr>
          <w:rFonts w:ascii="Arial" w:cs="Arial" w:eastAsia="Arial" w:hAnsi="Arial"/>
          <w:sz w:val="18"/>
          <w:szCs w:val="18"/>
          <w:color w:val="auto"/>
        </w:rPr>
        <w:t>” means any and all obligations or liabilities, whether absolute or contingent, due or to become due, now existing or hereafter arising, of Parents or their Subsidiaries (other than any Canadian Loan Party or any UK Loan Party) arising under, owing pursuant to, or existing in respect of Hedge Agreements entered into with one or more of the Hedge Providers.</w:t>
      </w:r>
    </w:p>
    <w:p>
      <w:pPr>
        <w:spacing w:after="0" w:line="18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Issuing Lender</w:t>
      </w:r>
      <w:r>
        <w:rPr>
          <w:rFonts w:ascii="Arial" w:cs="Arial" w:eastAsia="Arial" w:hAnsi="Arial"/>
          <w:sz w:val="16"/>
          <w:szCs w:val="16"/>
          <w:color w:val="auto"/>
        </w:rPr>
        <w:t xml:space="preserve">” means Wells Fargo and up to three other Lenders designated in writing to, and consented to by, the Agent (such consent not to be unreasonably withheld, conditioned or delayed) by the Administrative Borrower that agree, in such Lender’s sole discretion, to become a US Issuing Lender for the purpose of issuing US Letters of Credit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of the Agreement and US Issuing Lender shall be a Lender.</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Letter of Credit</w:t>
      </w:r>
      <w:r>
        <w:rPr>
          <w:rFonts w:ascii="Arial" w:cs="Arial" w:eastAsia="Arial" w:hAnsi="Arial"/>
          <w:sz w:val="16"/>
          <w:szCs w:val="16"/>
          <w:color w:val="auto"/>
        </w:rPr>
        <w:t>” means a letter of credit (as that term is defined in the Code) issued by US Issuing Lender for the account of a US Borrower.</w:t>
      </w:r>
    </w:p>
    <w:p>
      <w:pPr>
        <w:spacing w:after="0" w:line="248" w:lineRule="exact"/>
        <w:rPr>
          <w:sz w:val="20"/>
          <w:szCs w:val="20"/>
          <w:color w:val="auto"/>
        </w:rPr>
      </w:pPr>
    </w:p>
    <w:p>
      <w:pPr>
        <w:jc w:val="both"/>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Letter of Credit Disbursement</w:t>
      </w:r>
      <w:r>
        <w:rPr>
          <w:rFonts w:ascii="Arial" w:cs="Arial" w:eastAsia="Arial" w:hAnsi="Arial"/>
          <w:sz w:val="16"/>
          <w:szCs w:val="16"/>
          <w:color w:val="auto"/>
        </w:rPr>
        <w:t>” means a payment made by US Issuing Lender pursuant to a US Letter of Credit and calculated, with respect to US Letters of Credit where payment was not made in Dollars, as of such date of determination at the Exchange Rate in effect on the date of such payment.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89" w:name="page90"/>
    <w:bookmarkEnd w:id="89"/>
    <w:p>
      <w:pPr>
        <w:ind w:right="4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US Letter of Credit Exposure</w:t>
      </w:r>
      <w:r>
        <w:rPr>
          <w:rFonts w:ascii="Arial" w:cs="Arial" w:eastAsia="Arial" w:hAnsi="Arial"/>
          <w:sz w:val="18"/>
          <w:szCs w:val="18"/>
          <w:color w:val="auto"/>
        </w:rPr>
        <w:t>” means, as of any date of determination with respect to any Lender, such Lender’s Pro Rata Share of the US Letter of Credit Usage on such date.</w:t>
      </w:r>
    </w:p>
    <w:p>
      <w:pPr>
        <w:spacing w:after="0" w:line="17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Letter of Credit Usage</w:t>
      </w:r>
      <w:r>
        <w:rPr>
          <w:rFonts w:ascii="Arial" w:cs="Arial" w:eastAsia="Arial" w:hAnsi="Arial"/>
          <w:sz w:val="18"/>
          <w:szCs w:val="18"/>
          <w:color w:val="auto"/>
        </w:rPr>
        <w:t>” means, as of any date of determination, the aggregate undrawn amount of all outstanding US Letters of Credit and calculated, with respect to US Letters of Credit where demand for payment will not or may not be made in Dollars, as of such date of determination at the Exchange Rate in effect on such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 Party</w:t>
      </w:r>
      <w:r>
        <w:rPr>
          <w:rFonts w:ascii="Arial" w:cs="Arial" w:eastAsia="Arial" w:hAnsi="Arial"/>
          <w:sz w:val="18"/>
          <w:szCs w:val="18"/>
          <w:color w:val="auto"/>
        </w:rPr>
        <w:t>” means any US Borrower or any US Guarantor.</w:t>
      </w:r>
    </w:p>
    <w:p>
      <w:pPr>
        <w:spacing w:after="0" w:line="22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Obligations</w:t>
      </w:r>
      <w:r>
        <w:rPr>
          <w:rFonts w:ascii="Arial" w:cs="Arial" w:eastAsia="Arial" w:hAnsi="Arial"/>
          <w:sz w:val="16"/>
          <w:szCs w:val="16"/>
          <w:color w:val="auto"/>
        </w:rPr>
        <w:t xml:space="preserve">” means (a) all loans (including the US Revolving Loans (inclusive of US Extraordinary Advances and US Swing Loans)), debts, principal, interest (including any interest that accrues after the commencement of an Insolvency Proceeding, regardless of whether allowed or allowable in whole or in part as a claim in any such Insolvency Proceeding), premiums, liabilities (including all amounts charged to the US Loan Account pursuant to the Agreement), obligations (including indemnification obligations) of any US Loan Party, fees (including the fees provided for in the Fee Letter) of any US Loan Party, Lender Group Expenses (including any fees or expenses that accrue after the commencement of an Insolvency Proceeding, regardless of whether allowed or allowable in whole or in part as a claim in any such Insolvency Proceeding) of any US Loan Party, guaranties of any US Loan Party, and all covenants and duties of any other kind and description owing by any US Loan Party arising out of, under, pursuant to, in connection with, or evidenced by the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US Loan Party is required to pay or reimburse by the Loan Documents or by law or otherwise in connection with the Loan Documents, (b) all debts, liabilities, or obligations (including reimbursement and indemnification obligations, irrespective of whether contingent) owing by any US Borrower or any other US Loan Party to US Issuing Lender now or hereafter arising from or in respect of a US Letters of Credit, and (c) all US Bank Product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US Obligations shall not include Excluded Swap Obligations. Without limiting the generality of the foregoing, the US Obligations under the Loan Documents include the obligation to pay (i) the principal of the US Revolving Loans, (ii) interest accrued on the US Revolving Loans, (iii) the amount necessary to reimburse US Issuing Lender for amounts paid or payable pursuant to US Letters of Credit, (iv) Letter of Credit commissions, charges, expenses, and fees, in each case in respect of US Letters of Credit, (v) Lender Group Expenses of any US Loan Party, (vi) fees payable by any US Loan Party under the Agreement or any of the other Loan Documents, (vii) indemnities and other amounts payable by any US Loan Party under any Loan Document (excluding Excluded Swap Obligations), (viii) any guaranties by any US Loan Party of all or any part of the Canadian Obligations and (ix) any guaranties by any US Loan Party of all or any part of the UK Obligations. Any reference in the Agreement or in the Loan Documents to the Obligations shall include all or any portion thereof and any extensions, modifications, renewals, or alterations thereof, both prior and subsequent to any Insolvency Proceeding.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90" w:name="page91"/>
    <w:bookmarkEnd w:id="90"/>
    <w:p>
      <w:pPr>
        <w:ind w:right="6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US Overadvance</w:t>
      </w:r>
      <w:r>
        <w:rPr>
          <w:rFonts w:ascii="Arial" w:cs="Arial" w:eastAsia="Arial" w:hAnsi="Arial"/>
          <w:sz w:val="18"/>
          <w:szCs w:val="18"/>
          <w:color w:val="auto"/>
        </w:rPr>
        <w:t xml:space="preserve">” means, as of any date of determination, that the US Revolver Usage is greater than any of the limitations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Patent Security Agreement</w:t>
      </w:r>
      <w:r>
        <w:rPr>
          <w:rFonts w:ascii="Arial" w:cs="Arial" w:eastAsia="Arial" w:hAnsi="Arial"/>
          <w:sz w:val="18"/>
          <w:szCs w:val="18"/>
          <w:color w:val="auto"/>
        </w:rPr>
        <w:t>” has the meaning specified therefor in the US Security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Protective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right="10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Revolver Commitment</w:t>
      </w:r>
      <w:r>
        <w:rPr>
          <w:rFonts w:ascii="Arial" w:cs="Arial" w:eastAsia="Arial" w:hAnsi="Arial"/>
          <w:sz w:val="16"/>
          <w:szCs w:val="16"/>
          <w:color w:val="auto"/>
        </w:rPr>
        <w:t xml:space="preserve">” means, with respect to each Revolving Lender, its US Revolver Commitment, and, with respect to all Revolving Lenders, their US Revolver Commitments, in each case as set forth beside such Revolving Lender’s name under the applicable heading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to the Agreement or in the Assignment and Acceptance pursuant to which such Revolving Lender became a Revolving Lender under the Agreement, as such amounts may be reduced or increased from time to time pursuant to assignments made in accordance with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of the Agreement.</w:t>
      </w:r>
    </w:p>
    <w:p>
      <w:pPr>
        <w:spacing w:after="0" w:line="154"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Revolver Usage</w:t>
      </w:r>
      <w:r>
        <w:rPr>
          <w:rFonts w:ascii="Arial" w:cs="Arial" w:eastAsia="Arial" w:hAnsi="Arial"/>
          <w:sz w:val="18"/>
          <w:szCs w:val="18"/>
          <w:color w:val="auto"/>
        </w:rPr>
        <w:t>” means, as of any date of determination, the sum of (a) the amount of outstanding US Revolving Loans (inclusive of US Swing Loans and US Protective Advances), plus (b) the amount of the US Letter of Credit Usage.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Loan Exposure</w:t>
      </w:r>
      <w:r>
        <w:rPr>
          <w:rFonts w:ascii="Arial" w:cs="Arial" w:eastAsia="Arial" w:hAnsi="Arial"/>
          <w:sz w:val="18"/>
          <w:szCs w:val="18"/>
          <w:color w:val="auto"/>
        </w:rPr>
        <w:t>” means, with respect to any Revolving Lender, as of any date of determination (a) prior to the termination of the US Revolver Commitments, the amount of such Lender’s US Revolver Commitment, and (b) after the termination of the US Revolver Commitments, the aggregate outstanding principal amount of the US Revolving Loans of such Lender.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means a Guaranty and Security Agreement, dated as of even date with the Agreement, by and among each US Loan Party and Agent.</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 Lender</w:t>
      </w:r>
      <w:r>
        <w:rPr>
          <w:rFonts w:ascii="Arial" w:cs="Arial" w:eastAsia="Arial" w:hAnsi="Arial"/>
          <w:sz w:val="18"/>
          <w:szCs w:val="18"/>
          <w:color w:val="auto"/>
        </w:rPr>
        <w:t xml:space="preserve">” means Wells Fargo or any other Lender that, at the request of US Administrative Borrower and with the consent of Agent agrees, in such Lender’s sole discretion, to become the US Swing Lender under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the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 Loan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 Loan Exposure</w:t>
      </w:r>
      <w:r>
        <w:rPr>
          <w:rFonts w:ascii="Arial" w:cs="Arial" w:eastAsia="Arial" w:hAnsi="Arial"/>
          <w:sz w:val="18"/>
          <w:szCs w:val="18"/>
          <w:color w:val="auto"/>
        </w:rPr>
        <w:t>” means, as of any date of determination with respect to any Lender, such Lender’s Pro Rata Share of the US Swing Loans on such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Trademark Security Agreement</w:t>
      </w:r>
      <w:r>
        <w:rPr>
          <w:rFonts w:ascii="Arial" w:cs="Arial" w:eastAsia="Arial" w:hAnsi="Arial"/>
          <w:sz w:val="18"/>
          <w:szCs w:val="18"/>
          <w:color w:val="auto"/>
        </w:rPr>
        <w:t>” has the meaning specified therefor in the US Security Agreement.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274" w:right="359" w:bottom="1440" w:gutter="0" w:footer="0" w:header="0"/>
        </w:sectPr>
      </w:pPr>
    </w:p>
    <w:bookmarkStart w:id="91" w:name="page92"/>
    <w:bookmarkEnd w:id="91"/>
    <w:p>
      <w:pPr>
        <w:ind w:right="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VAT</w:t>
      </w:r>
      <w:r>
        <w:rPr>
          <w:rFonts w:ascii="Arial" w:cs="Arial" w:eastAsia="Arial" w:hAnsi="Arial"/>
          <w:sz w:val="18"/>
          <w:szCs w:val="18"/>
          <w:color w:val="auto"/>
        </w:rPr>
        <w:t>”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paragraph (a) above, or imposed elsewhere.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17.8</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 Canada</w:t>
      </w:r>
      <w:r>
        <w:rPr>
          <w:rFonts w:ascii="Arial" w:cs="Arial" w:eastAsia="Arial" w:hAnsi="Arial"/>
          <w:sz w:val="18"/>
          <w:szCs w:val="18"/>
          <w:color w:val="auto"/>
        </w:rPr>
        <w:t>” means Wells Fargo Capital Finance Corporation Canada.</w:t>
      </w:r>
    </w:p>
    <w:p>
      <w:pPr>
        <w:spacing w:after="0" w:line="225"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with respect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Accounting Terms</w:t>
      </w:r>
      <w:r>
        <w:rPr>
          <w:rFonts w:ascii="Arial" w:cs="Arial" w:eastAsia="Arial" w:hAnsi="Arial"/>
          <w:sz w:val="17"/>
          <w:szCs w:val="17"/>
          <w:color w:val="auto"/>
        </w:rPr>
        <w:t xml:space="preserve">. All accounting terms not specifically defined herein shall be construed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that if Administrative Borrower notifies Agent that 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immediately before such Accounting Change took effect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and financial statements shall be prepared in accordance with GAAP. Whenever the term “Parent” is used in respect of a financial covenant or a related definition, it shall be understood to mean the Loan Parties and their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92" w:name="page93"/>
    <w:bookmarkEnd w:id="92"/>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 </w:t>
      </w:r>
      <w:r>
        <w:rPr>
          <w:rFonts w:ascii="Arial" w:cs="Arial" w:eastAsia="Arial" w:hAnsi="Arial"/>
          <w:sz w:val="16"/>
          <w:szCs w:val="16"/>
          <w:b w:val="1"/>
          <w:bCs w:val="1"/>
          <w:u w:val="single" w:color="auto"/>
          <w:color w:val="auto"/>
        </w:rPr>
        <w:t>Code; PPSA</w:t>
      </w:r>
      <w:r>
        <w:rPr>
          <w:rFonts w:ascii="Arial" w:cs="Arial" w:eastAsia="Arial" w:hAnsi="Arial"/>
          <w:sz w:val="16"/>
          <w:szCs w:val="16"/>
          <w:color w:val="auto"/>
        </w:rPr>
        <w:t xml:space="preserve">. Any terms used in this Agreement that are defined in (a) the Code shall be construed and defined as set forth in the Code unless otherwise defined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Code is used to define any term herein and such term is defined differently in different Articles of the Code, the definition of such term contained in Article 9 of the Code shall govern, and (b) the PPSA (but not the Code) shall be construed and defined as set forth in the PPSA unless otherwise defined herein. Notwithstanding the foregoing, and where the context so requires, (i) any term defined in this Agreement by reference to the “Code”, the “UCC” or the “Uniform Commercial Code” shall also have any extended, alternative or analogous meaning given to such term in applicable Canadian personal property security and other laws (including, without limitation, the PPSA of each applicable province of Canada, the </w:t>
      </w:r>
      <w:r>
        <w:rPr>
          <w:rFonts w:ascii="Arial" w:cs="Arial" w:eastAsia="Arial" w:hAnsi="Arial"/>
          <w:sz w:val="16"/>
          <w:szCs w:val="16"/>
          <w:i w:val="1"/>
          <w:iCs w:val="1"/>
          <w:color w:val="auto"/>
        </w:rPr>
        <w:t>Bills of Exchange Act</w:t>
      </w:r>
      <w:r>
        <w:rPr>
          <w:rFonts w:ascii="Arial" w:cs="Arial" w:eastAsia="Arial" w:hAnsi="Arial"/>
          <w:sz w:val="16"/>
          <w:szCs w:val="16"/>
          <w:color w:val="auto"/>
        </w:rPr>
        <w:t xml:space="preserve"> (Canada) and the </w:t>
      </w:r>
      <w:r>
        <w:rPr>
          <w:rFonts w:ascii="Arial" w:cs="Arial" w:eastAsia="Arial" w:hAnsi="Arial"/>
          <w:sz w:val="16"/>
          <w:szCs w:val="16"/>
          <w:i w:val="1"/>
          <w:iCs w:val="1"/>
          <w:color w:val="auto"/>
        </w:rPr>
        <w:t>Depository Bills and Notes Act</w:t>
      </w:r>
      <w:r>
        <w:rPr>
          <w:rFonts w:ascii="Arial" w:cs="Arial" w:eastAsia="Arial" w:hAnsi="Arial"/>
          <w:sz w:val="16"/>
          <w:szCs w:val="16"/>
          <w:color w:val="auto"/>
        </w:rPr>
        <w:t xml:space="preserve"> (Canada)), to the extent that the context requires and in all cases for the extension, preservation or betterment of the security and rights of the Collateral, (ii) all references in this Agreement to “Article 8” shall be deemed to refer also to applicable Canadian securities transfer laws (including, without limitation, the </w:t>
      </w:r>
      <w:r>
        <w:rPr>
          <w:rFonts w:ascii="Arial" w:cs="Arial" w:eastAsia="Arial" w:hAnsi="Arial"/>
          <w:sz w:val="16"/>
          <w:szCs w:val="16"/>
          <w:i w:val="1"/>
          <w:iCs w:val="1"/>
          <w:color w:val="auto"/>
        </w:rPr>
        <w:t>Securities Transfer Act</w:t>
      </w:r>
      <w:r>
        <w:rPr>
          <w:rFonts w:ascii="Arial" w:cs="Arial" w:eastAsia="Arial" w:hAnsi="Arial"/>
          <w:sz w:val="16"/>
          <w:szCs w:val="16"/>
          <w:color w:val="auto"/>
        </w:rPr>
        <w:t xml:space="preserve"> of each applicable province of Canada (the “</w:t>
      </w:r>
      <w:r>
        <w:rPr>
          <w:rFonts w:ascii="Arial" w:cs="Arial" w:eastAsia="Arial" w:hAnsi="Arial"/>
          <w:sz w:val="16"/>
          <w:szCs w:val="16"/>
          <w:u w:val="single" w:color="auto"/>
          <w:color w:val="auto"/>
        </w:rPr>
        <w:t>STA</w:t>
      </w:r>
      <w:r>
        <w:rPr>
          <w:rFonts w:ascii="Arial" w:cs="Arial" w:eastAsia="Arial" w:hAnsi="Arial"/>
          <w:sz w:val="16"/>
          <w:szCs w:val="16"/>
          <w:color w:val="auto"/>
        </w:rPr>
        <w:t>”)),</w:t>
      </w:r>
    </w:p>
    <w:p>
      <w:pPr>
        <w:spacing w:after="0" w:line="4" w:lineRule="exact"/>
        <w:rPr>
          <w:sz w:val="20"/>
          <w:szCs w:val="20"/>
          <w:color w:val="auto"/>
        </w:rPr>
      </w:pPr>
    </w:p>
    <w:p>
      <w:pPr>
        <w:ind w:right="20" w:firstLine="8"/>
        <w:spacing w:after="0" w:line="252" w:lineRule="auto"/>
        <w:tabs>
          <w:tab w:leader="none" w:pos="3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references in this Agreement to a financing statement, continuation statement, amendment or termination statement shall be deemed to refer also to the analogous documents used under applicable Canadian personal property security laws, (iv) all references to the United States of America, or to any subdivision, department, agency or instrumentality thereof shall be deemed to refer, where the context requires with respect to Canadian Loan Parties, in lieu thereof to Canada, or to any subdivision, department, agency or instrumentality thereof, and (v) all references to federal or state securities law of the United States shall be deemed to refer, where the context requires with respect to Canadian Loan Parties, in lieu thereof to analogous federal (where applicable) and provincial securities laws in Canada.</w:t>
      </w:r>
    </w:p>
    <w:p>
      <w:pPr>
        <w:spacing w:after="0" w:line="8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Unless the context of this Agreement or any other Loan Document clearly requires otherwise, references to “law” means all international, foreign, federal, state, provincial and local statutes, treaties, common law, rules, guidelines, regulations, by-laws, ordinances, decrees, codes and administrative or judicial or arbitral or administrative or ministerial or departmental or regulatory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Section, subsection, clause, schedule, and exhibit references herein are to this Agreement unless otherwise specified. Any reference in this Agreement or in any other Loan Document to any agreement, instrument, or document shall include all alterations, amendments,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0" w:right="239" w:bottom="1440" w:gutter="0" w:footer="0" w:header="0"/>
        </w:sectPr>
      </w:pPr>
    </w:p>
    <w:bookmarkStart w:id="93" w:name="page94"/>
    <w:bookmarkEnd w:id="9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variations, extensions, modifications, renewals, replacements, substitutions, joinders, and supplements, thereto and thereof, as applicable (subject to any restrictions on such alterations, amendments, changes, variations, extensions, modifications, renewals, replacements, substitutions, joinders, and supplements set forth herein). The words “asset” and “property” shall be construed to have the same meaning and effect and to refer to any and all tangible and intangible assets and properties. All references to “province” or like terms shall include “territory” and like terms. Any reference herein or in any other Loan Document to the satisfaction, repayment, or payment in full of the Obligations shall mean (a) the payment or repayment in full in immediately available funds in the Applicable Currency of (i) the principal amount of, and interest accrued and unpaid with respect to, all outstanding Loans, (ii) all Lender Group Expenses that have accrued and are unpaid regardless of whether demand has been made therefor, and (iii) all fees or charges that have accrued hereunder or under any other Loan Document (including the Letter of Credit Fee and the Unused Line Fee) and are unpaid, (b) in the case of contingent reimbursement obligations with respect to Letters of Credit, providing Letter of Credit Collateralization in the Applicable Currency, (c) in the case of obligations with respect to Bank Products (other than Hedge Obligations), providing Bank Product Collateralization in the Applicable Currency, (d) the receipt by Agent of cash collateral in the Applicable Currency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reasonable and documented outside counsel attorneys’ fees and legal expenses), such cash collateral to be in such amount as Agent reasonably determines is appropriate to secure such contingent Obligations, (e) the payment or repayment in full in immediately available funds in the Applicable Currency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 applicable Bank Product Provider to remain outstanding without being required to be repaid or cash 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spacing w:after="0" w:line="7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Time References</w:t>
      </w:r>
      <w:r>
        <w:rPr>
          <w:rFonts w:ascii="Arial" w:cs="Arial" w:eastAsia="Arial" w:hAnsi="Arial"/>
          <w:sz w:val="18"/>
          <w:szCs w:val="18"/>
          <w:color w:val="auto"/>
        </w:rPr>
        <w:t xml:space="preserve">. Unless the context of this Agreement or any other Loan Document clearly requires otherwise, all references to time of day refer to Eastern standard time or Eastern daylight saving time, as in effect in Atlanta, Georgia on such day. For purposes of the computation of a period of time from a specified date to a later specified date, unless otherwise expressly provided, the word “from” means “from and including” and the words “to” and “until” each means “to and including”;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a computation of fees or interest payable to Agent or any Lender, such period shall in any event consist of at least one full day.</w:t>
      </w:r>
    </w:p>
    <w:p>
      <w:pPr>
        <w:spacing w:after="0" w:line="76" w:lineRule="exact"/>
        <w:rPr>
          <w:sz w:val="20"/>
          <w:szCs w:val="20"/>
          <w:color w:val="auto"/>
        </w:rPr>
      </w:pPr>
    </w:p>
    <w:p>
      <w:pPr>
        <w:jc w:val="center"/>
        <w:ind w:right="340"/>
        <w:spacing w:after="0" w:line="454"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Schedules and Exhibits</w:t>
      </w:r>
      <w:r>
        <w:rPr>
          <w:rFonts w:ascii="Arial" w:cs="Arial" w:eastAsia="Arial" w:hAnsi="Arial"/>
          <w:sz w:val="18"/>
          <w:szCs w:val="18"/>
          <w:color w:val="auto"/>
        </w:rPr>
        <w:t>. All of the schedules and exhibits attached to this Agreement shall be deemed incorporated herein by reference. -83-</w:t>
      </w:r>
    </w:p>
    <w:p>
      <w:pPr>
        <w:sectPr>
          <w:pgSz w:w="11900" w:h="16838" w:orient="portrait"/>
          <w:cols w:equalWidth="0" w:num="1">
            <w:col w:w="11420"/>
          </w:cols>
          <w:pgMar w:left="240" w:top="274" w:right="239"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 </w:t>
      </w:r>
      <w:r>
        <w:rPr>
          <w:rFonts w:ascii="Arial" w:cs="Arial" w:eastAsia="Arial" w:hAnsi="Arial"/>
          <w:sz w:val="18"/>
          <w:szCs w:val="18"/>
          <w:b w:val="1"/>
          <w:bCs w:val="1"/>
          <w:u w:val="single" w:color="auto"/>
          <w:color w:val="auto"/>
        </w:rPr>
        <w:t>Exchange Rates; Currency Equivalents; Applicable Currency</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55" w:lineRule="auto"/>
        <w:tabs>
          <w:tab w:leader="none" w:pos="11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this Agreement and the other Loan Documents, the Dollar Equivalent of any Revolving Loans, Letters of Credit, other Obligations and other references to amounts denominated in a currency other than Dollars shall be determined in accordance with the terms of this Agreement. Such Dollar Equivalent shall become effective as of such Revaluation Date for such Revolving Loans, Letters of Credit and other Obligations and shall be the Dollar Equivalent employed in converting any amounts between the applicable currencies until the next Revaluation Date to occur for such Revolving Loans, Letters of Credit and other Obligations. Except as otherwise expressly provided herein, the applicable amount of any currency for purposes of the Loan Documents (including for purposes of financial statements and all calculations in connection with the covenants, including the financial covenants) shall be the Dollar Equivalent thereof.</w:t>
      </w:r>
    </w:p>
    <w:p>
      <w:pPr>
        <w:spacing w:after="0" w:line="81" w:lineRule="exact"/>
        <w:rPr>
          <w:rFonts w:ascii="Arial" w:cs="Arial" w:eastAsia="Arial" w:hAnsi="Arial"/>
          <w:sz w:val="18"/>
          <w:szCs w:val="18"/>
          <w:color w:val="auto"/>
        </w:rPr>
      </w:pPr>
    </w:p>
    <w:p>
      <w:pPr>
        <w:ind w:right="240" w:firstLine="921"/>
        <w:spacing w:after="0" w:line="259"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Wherever in this Agreement and the other Loan Documents in connection with a borrowing, conversion, continuation or prepayment of a Revolving Loan or the issuance, amendment or extension of a Letter of Credit, an amount, such as a required minimum or multiple amount, is expressed in Dollars, but such Revolving Loan or Letter of Credit is denominated in Canadian Dollars or Sterling, such amount shall be the same dollar figure but denominated in Canadian Dollars or Sterling (as applicable).</w:t>
      </w:r>
    </w:p>
    <w:p>
      <w:pPr>
        <w:spacing w:after="0" w:line="75" w:lineRule="exact"/>
        <w:rPr>
          <w:sz w:val="20"/>
          <w:szCs w:val="20"/>
          <w:color w:val="auto"/>
        </w:rPr>
      </w:pPr>
    </w:p>
    <w:p>
      <w:pPr>
        <w:ind w:right="360" w:firstLine="456"/>
        <w:spacing w:after="0" w:line="289"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u w:val="single" w:color="auto"/>
          <w:color w:val="auto"/>
        </w:rPr>
        <w:t>Quebec Interpretation</w:t>
      </w:r>
      <w:r>
        <w:rPr>
          <w:rFonts w:ascii="Arial" w:cs="Arial" w:eastAsia="Arial" w:hAnsi="Arial"/>
          <w:sz w:val="16"/>
          <w:szCs w:val="16"/>
          <w:color w:val="auto"/>
        </w:rPr>
        <w:t>. For all purposes of any assets, liabilities or entities located in the Province of Quebec and for all purposes pursuant to which the interpretation or construction of a Loan Document may be subject to the laws of the Province of Quebec or a court or tribunal exercising jurisdiction in the Province of Quebec, (a) “personal property” shall include “movable property”, (b) “real property” shall include “immovable property”,</w:t>
      </w:r>
    </w:p>
    <w:p>
      <w:pPr>
        <w:spacing w:after="0" w:line="2" w:lineRule="exact"/>
        <w:rPr>
          <w:sz w:val="20"/>
          <w:szCs w:val="20"/>
          <w:color w:val="auto"/>
        </w:rPr>
      </w:pPr>
    </w:p>
    <w:p>
      <w:pPr>
        <w:ind w:right="40" w:firstLine="8"/>
        <w:spacing w:after="0" w:line="281" w:lineRule="auto"/>
        <w:tabs>
          <w:tab w:leader="none" w:pos="24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“tangible property” shall include “corporeal property”, (d) “intangible property” shall include “incorporeal property”, (e) “security interest”, “mortgage” and “lien” shall include a “hypothec”, “prior claim” and a “resolutory clause”, (f) all references to filing, registering or recording under the Code or PPSA shall include publication under the Civil Code of Quebec, (g) all references to “perfection” of or “perfected” liens or security interest shall include a reference to an “opposable” or “set up” lien or security interest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shall include “legal hypothecs”, (l) “joint and several” shall include “solidary”,</w:t>
      </w:r>
    </w:p>
    <w:p>
      <w:pPr>
        <w:spacing w:after="0" w:line="4" w:lineRule="exact"/>
        <w:rPr>
          <w:rFonts w:ascii="Arial" w:cs="Arial" w:eastAsia="Arial" w:hAnsi="Arial"/>
          <w:sz w:val="16"/>
          <w:szCs w:val="16"/>
          <w:color w:val="auto"/>
        </w:rPr>
      </w:pPr>
    </w:p>
    <w:p>
      <w:pPr>
        <w:ind w:right="20" w:firstLine="8"/>
        <w:spacing w:after="0" w:line="268" w:lineRule="auto"/>
        <w:tabs>
          <w:tab w:leader="none" w:pos="3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“gross negligence or willful misconduct” shall be deemed to be “intentional or gross fault”, (n) “beneficial ownership” shall include “ownership on behalf of another as mandatary”, (o) “easement” shall include “servitude”, (p) “priority” shall include “prior claim”, (q) “survey” shall include “certificate of location and plan”, and (r) “fee simple title” shall include “absolute ownership”.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w:t>
      </w:r>
      <w:r>
        <w:rPr>
          <w:rFonts w:ascii="Arial" w:cs="Arial" w:eastAsia="Arial" w:hAnsi="Arial"/>
          <w:sz w:val="17"/>
          <w:szCs w:val="17"/>
          <w:i w:val="1"/>
          <w:iCs w:val="1"/>
          <w:color w:val="auto"/>
        </w:rPr>
        <w:t>Les parties aux présentes confirment que c’est leur volonté que cette convention et les autres documents de crédit soient rédigés en</w:t>
      </w:r>
      <w:r>
        <w:rPr>
          <w:rFonts w:ascii="Arial" w:cs="Arial" w:eastAsia="Arial" w:hAnsi="Arial"/>
          <w:sz w:val="17"/>
          <w:szCs w:val="17"/>
          <w:color w:val="auto"/>
        </w:rPr>
        <w:t xml:space="preserve"> </w:t>
      </w:r>
      <w:r>
        <w:rPr>
          <w:rFonts w:ascii="Arial" w:cs="Arial" w:eastAsia="Arial" w:hAnsi="Arial"/>
          <w:sz w:val="17"/>
          <w:szCs w:val="17"/>
          <w:i w:val="1"/>
          <w:iCs w:val="1"/>
          <w:color w:val="auto"/>
        </w:rPr>
        <w:t>langue anglaise seulement et que tous les documents, y compris tous avis, envisagés par cette convention et les autres documents peuvent être rédigés en langue anglaise seulement (sauf si une autre langue est requise en vertu d’une loi applicable).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0" w:right="239" w:bottom="1440" w:gutter="0" w:footer="0" w:header="0"/>
        </w:sectPr>
      </w:pPr>
    </w:p>
    <w:bookmarkStart w:id="95" w:name="page96"/>
    <w:bookmarkEnd w:id="95"/>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 </w:t>
      </w:r>
      <w:r>
        <w:rPr>
          <w:rFonts w:ascii="Arial" w:cs="Arial" w:eastAsia="Arial" w:hAnsi="Arial"/>
          <w:sz w:val="16"/>
          <w:szCs w:val="16"/>
          <w:b w:val="1"/>
          <w:bCs w:val="1"/>
          <w:u w:val="single" w:color="auto"/>
          <w:color w:val="auto"/>
        </w:rPr>
        <w:t>Scottish Interpretation</w:t>
      </w:r>
      <w:r>
        <w:rPr>
          <w:rFonts w:ascii="Arial" w:cs="Arial" w:eastAsia="Arial" w:hAnsi="Arial"/>
          <w:sz w:val="16"/>
          <w:szCs w:val="16"/>
          <w:color w:val="auto"/>
        </w:rPr>
        <w:t>. For all purposes of any assets, liabilities or entities located in Scotland or otherwise governed by Scots law and for all purposes pursuant to which the interpretation or construction of a Loan Document may be subject to the laws of Scotland or a court or tribunal exercising jurisdiction in Scotland, (a) “personal property” shall include “movable property”, (b) “real property” shall include “heritable property” and “long leasehold”,</w:t>
      </w:r>
    </w:p>
    <w:p>
      <w:pPr>
        <w:spacing w:after="0" w:line="2" w:lineRule="exact"/>
        <w:rPr>
          <w:sz w:val="20"/>
          <w:szCs w:val="20"/>
          <w:color w:val="auto"/>
        </w:rPr>
      </w:pPr>
    </w:p>
    <w:p>
      <w:pPr>
        <w:jc w:val="both"/>
        <w:ind w:right="80" w:firstLine="8"/>
        <w:spacing w:after="0" w:line="255" w:lineRule="auto"/>
        <w:tabs>
          <w:tab w:leader="none" w:pos="2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“mortgage” shall include “standard security”, (d) “recordation” includes “registrations” and “recording”, (e) “security interest” and “lien” shall include a “hypothec”, “standard security”, “charge”, “pledge”, and “assignation”, (f) “judgment” shall include a “decree”, (g) “tort” includes “delict”, (h) “easements” includes “servitudes”, “burdens”, and “wayleaves”, and (i) “peaceful and undisturbed” includes “open and peaceable”.</w:t>
      </w:r>
    </w:p>
    <w:p>
      <w:pPr>
        <w:spacing w:after="0" w:line="294" w:lineRule="exact"/>
        <w:rPr>
          <w:sz w:val="20"/>
          <w:szCs w:val="20"/>
          <w:color w:val="auto"/>
        </w:rPr>
      </w:pPr>
    </w:p>
    <w:p>
      <w:pPr>
        <w:ind w:left="460" w:right="8200" w:hanging="452"/>
        <w:spacing w:after="0" w:line="400" w:lineRule="auto"/>
        <w:tabs>
          <w:tab w:leader="none" w:pos="183"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LOANS AND TERMS OF PAYMENT. </w:t>
      </w: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Revolving Loans</w:t>
      </w:r>
      <w:r>
        <w:rPr>
          <w:rFonts w:ascii="Arial" w:cs="Arial" w:eastAsia="Arial" w:hAnsi="Arial"/>
          <w:sz w:val="17"/>
          <w:szCs w:val="17"/>
          <w:color w:val="auto"/>
        </w:rPr>
        <w:t>.</w:t>
      </w:r>
    </w:p>
    <w:p>
      <w:pPr>
        <w:ind w:right="220" w:firstLine="921"/>
        <w:spacing w:after="0" w:line="264" w:lineRule="auto"/>
        <w:tabs>
          <w:tab w:leader="none" w:pos="1158"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Revolving Lender with a US Revolver Commitment agrees (severally, not jointly or jointly and severally) to make revolving loans in Dollars (“</w:t>
      </w:r>
      <w:r>
        <w:rPr>
          <w:rFonts w:ascii="Arial" w:cs="Arial" w:eastAsia="Arial" w:hAnsi="Arial"/>
          <w:sz w:val="18"/>
          <w:szCs w:val="18"/>
          <w:u w:val="single" w:color="auto"/>
          <w:color w:val="auto"/>
        </w:rPr>
        <w:t>US Revolving Loans</w:t>
      </w:r>
      <w:r>
        <w:rPr>
          <w:rFonts w:ascii="Arial" w:cs="Arial" w:eastAsia="Arial" w:hAnsi="Arial"/>
          <w:sz w:val="18"/>
          <w:szCs w:val="18"/>
          <w:color w:val="auto"/>
        </w:rPr>
        <w:t xml:space="preserve">”) to US Borrowers in an amount at any one time outstanding not to exceed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700" w:hanging="208"/>
        <w:spacing w:after="0"/>
        <w:tabs>
          <w:tab w:leader="none" w:pos="17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such Lender’s US Revolver Commitment, and</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such Lender’s Pro Rata Share of an amount equal to the lesser of:</w:t>
      </w:r>
    </w:p>
    <w:p>
      <w:pPr>
        <w:spacing w:after="0" w:line="117" w:lineRule="exact"/>
        <w:rPr>
          <w:rFonts w:ascii="Arial" w:cs="Arial" w:eastAsia="Arial" w:hAnsi="Arial"/>
          <w:sz w:val="18"/>
          <w:szCs w:val="18"/>
          <w:color w:val="auto"/>
        </w:rPr>
      </w:pPr>
    </w:p>
    <w:p>
      <w:pPr>
        <w:ind w:right="80" w:firstLine="1948"/>
        <w:spacing w:after="0" w:line="291" w:lineRule="auto"/>
        <w:tabs>
          <w:tab w:leader="none" w:pos="2235" w:val="left"/>
        </w:tabs>
        <w:numPr>
          <w:ilvl w:val="3"/>
          <w:numId w:val="68"/>
        </w:numPr>
        <w:rPr>
          <w:rFonts w:ascii="Arial" w:cs="Arial" w:eastAsia="Arial" w:hAnsi="Arial"/>
          <w:sz w:val="16"/>
          <w:szCs w:val="16"/>
          <w:color w:val="auto"/>
        </w:rPr>
      </w:pPr>
      <w:r>
        <w:rPr>
          <w:rFonts w:ascii="Arial" w:cs="Arial" w:eastAsia="Arial" w:hAnsi="Arial"/>
          <w:sz w:val="16"/>
          <w:szCs w:val="16"/>
          <w:color w:val="auto"/>
        </w:rPr>
        <w:t xml:space="preserve">the amount equal to (1) the Maximum Revolver Amount,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(2) the sum of (w) the US Letter of Credit Usage at such time, </w:t>
      </w:r>
      <w:r>
        <w:rPr>
          <w:rFonts w:ascii="Arial" w:cs="Arial" w:eastAsia="Arial" w:hAnsi="Arial"/>
          <w:sz w:val="16"/>
          <w:szCs w:val="16"/>
          <w:i w:val="1"/>
          <w:iCs w:val="1"/>
          <w:u w:val="single" w:color="auto"/>
          <w:color w:val="auto"/>
        </w:rPr>
        <w:t>plus</w:t>
      </w:r>
      <w:r>
        <w:rPr>
          <w:rFonts w:ascii="Arial" w:cs="Arial" w:eastAsia="Arial" w:hAnsi="Arial"/>
          <w:sz w:val="16"/>
          <w:szCs w:val="16"/>
          <w:i w:val="1"/>
          <w:iCs w:val="1"/>
          <w:color w:val="auto"/>
        </w:rPr>
        <w:t xml:space="preserve"> </w:t>
      </w:r>
      <w:r>
        <w:rPr>
          <w:rFonts w:ascii="Arial" w:cs="Arial" w:eastAsia="Arial" w:hAnsi="Arial"/>
          <w:sz w:val="16"/>
          <w:szCs w:val="16"/>
          <w:color w:val="auto"/>
        </w:rPr>
        <w:t>(x) the principal amount of US Swing Loans outstanding at such time,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plus</w:t>
      </w:r>
      <w:r>
        <w:rPr>
          <w:rFonts w:ascii="Arial" w:cs="Arial" w:eastAsia="Arial" w:hAnsi="Arial"/>
          <w:sz w:val="16"/>
          <w:szCs w:val="16"/>
          <w:i w:val="1"/>
          <w:iCs w:val="1"/>
          <w:color w:val="auto"/>
        </w:rPr>
        <w:t xml:space="preserve"> </w:t>
      </w:r>
      <w:r>
        <w:rPr>
          <w:rFonts w:ascii="Arial" w:cs="Arial" w:eastAsia="Arial" w:hAnsi="Arial"/>
          <w:sz w:val="16"/>
          <w:szCs w:val="16"/>
          <w:color w:val="auto"/>
        </w:rPr>
        <w:t>(y) the Dollar Equivalent of the Canadian Revolver Usage at such time,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plus</w:t>
      </w:r>
    </w:p>
    <w:p>
      <w:pPr>
        <w:spacing w:after="0"/>
        <w:rPr>
          <w:rFonts w:ascii="Arial" w:cs="Arial" w:eastAsia="Arial" w:hAnsi="Arial"/>
          <w:sz w:val="16"/>
          <w:szCs w:val="16"/>
          <w:color w:val="auto"/>
        </w:rPr>
      </w:pPr>
      <w:r>
        <w:rPr>
          <w:rFonts w:ascii="Arial" w:cs="Arial" w:eastAsia="Arial" w:hAnsi="Arial"/>
          <w:sz w:val="18"/>
          <w:szCs w:val="18"/>
          <w:color w:val="auto"/>
        </w:rPr>
        <w:t>(z) the Dollar Equivalent of the UK Revolver Usage at such time, and</w:t>
      </w:r>
    </w:p>
    <w:p>
      <w:pPr>
        <w:spacing w:after="0" w:line="102" w:lineRule="exact"/>
        <w:rPr>
          <w:rFonts w:ascii="Arial" w:cs="Arial" w:eastAsia="Arial" w:hAnsi="Arial"/>
          <w:sz w:val="16"/>
          <w:szCs w:val="16"/>
          <w:color w:val="auto"/>
        </w:rPr>
      </w:pPr>
    </w:p>
    <w:p>
      <w:pPr>
        <w:ind w:right="200" w:firstLine="1948"/>
        <w:spacing w:after="0" w:line="291" w:lineRule="auto"/>
        <w:tabs>
          <w:tab w:leader="none" w:pos="2225" w:val="left"/>
        </w:tabs>
        <w:numPr>
          <w:ilvl w:val="3"/>
          <w:numId w:val="68"/>
        </w:numPr>
        <w:rPr>
          <w:rFonts w:ascii="Arial" w:cs="Arial" w:eastAsia="Arial" w:hAnsi="Arial"/>
          <w:sz w:val="16"/>
          <w:szCs w:val="16"/>
          <w:color w:val="auto"/>
        </w:rPr>
      </w:pPr>
      <w:r>
        <w:rPr>
          <w:rFonts w:ascii="Arial" w:cs="Arial" w:eastAsia="Arial" w:hAnsi="Arial"/>
          <w:sz w:val="16"/>
          <w:szCs w:val="16"/>
          <w:color w:val="auto"/>
        </w:rPr>
        <w:t xml:space="preserve">the amount equal to (1) the US Borrowing Base as of such date (based upon the US Borrowing Base set forth in the most recent Borrowing Base Certificate delivered by Borrowers to Agent,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less</w:t>
      </w:r>
    </w:p>
    <w:p>
      <w:pPr>
        <w:spacing w:after="0"/>
        <w:rPr>
          <w:rFonts w:ascii="Arial" w:cs="Arial" w:eastAsia="Arial" w:hAnsi="Arial"/>
          <w:sz w:val="16"/>
          <w:szCs w:val="16"/>
          <w:color w:val="auto"/>
        </w:rPr>
      </w:pPr>
      <w:r>
        <w:rPr>
          <w:rFonts w:ascii="Arial" w:cs="Arial" w:eastAsia="Arial" w:hAnsi="Arial"/>
          <w:sz w:val="18"/>
          <w:szCs w:val="18"/>
          <w:color w:val="auto"/>
        </w:rPr>
        <w:t xml:space="preserve">(2) the sum of (x) the US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US Swing Loans outstanding at such time.</w:t>
      </w:r>
    </w:p>
    <w:p>
      <w:pPr>
        <w:spacing w:after="0" w:line="102" w:lineRule="exact"/>
        <w:rPr>
          <w:rFonts w:ascii="Arial" w:cs="Arial" w:eastAsia="Arial" w:hAnsi="Arial"/>
          <w:sz w:val="16"/>
          <w:szCs w:val="16"/>
          <w:color w:val="auto"/>
        </w:rPr>
      </w:pPr>
    </w:p>
    <w:p>
      <w:pPr>
        <w:ind w:right="480" w:firstLine="921"/>
        <w:spacing w:after="0" w:line="259" w:lineRule="auto"/>
        <w:tabs>
          <w:tab w:leader="none" w:pos="1168"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Revolving Lender with a Canadian Revolver Commitment agrees (severally, not jointly or jointly and severally) to make revolving loans in Dollars or Canadian Dollars, as selected by Administrative Borrower (“</w:t>
      </w:r>
      <w:r>
        <w:rPr>
          <w:rFonts w:ascii="Arial" w:cs="Arial" w:eastAsia="Arial" w:hAnsi="Arial"/>
          <w:sz w:val="18"/>
          <w:szCs w:val="18"/>
          <w:u w:val="single" w:color="auto"/>
          <w:color w:val="auto"/>
        </w:rPr>
        <w:t>Canadian Revolving Loans</w:t>
      </w:r>
      <w:r>
        <w:rPr>
          <w:rFonts w:ascii="Arial" w:cs="Arial" w:eastAsia="Arial" w:hAnsi="Arial"/>
          <w:sz w:val="18"/>
          <w:szCs w:val="18"/>
          <w:color w:val="auto"/>
        </w:rPr>
        <w:t xml:space="preserve">”) to Canadian Borrowers in an amount at any one time outstanding not to exceed the Dollar Equivalent of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700" w:hanging="208"/>
        <w:spacing w:after="0"/>
        <w:tabs>
          <w:tab w:leader="none" w:pos="17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such Lender’s Canadian Revolver Commitment,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270" w:right="299" w:bottom="1440" w:gutter="0" w:footer="0" w:header="0"/>
        </w:sectPr>
      </w:pPr>
    </w:p>
    <w:bookmarkStart w:id="96" w:name="page97"/>
    <w:bookmarkEnd w:id="96"/>
    <w:p>
      <w:pPr>
        <w:ind w:left="1760" w:hanging="268"/>
        <w:spacing w:after="0"/>
        <w:tabs>
          <w:tab w:leader="none" w:pos="1760"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Lender’s Pro Rata Share of an amount equal to the least of:</w:t>
      </w:r>
    </w:p>
    <w:p>
      <w:pPr>
        <w:spacing w:after="0" w:line="117" w:lineRule="exact"/>
        <w:rPr>
          <w:rFonts w:ascii="Arial" w:cs="Arial" w:eastAsia="Arial" w:hAnsi="Arial"/>
          <w:sz w:val="18"/>
          <w:szCs w:val="18"/>
          <w:color w:val="auto"/>
        </w:rPr>
      </w:pPr>
    </w:p>
    <w:p>
      <w:pPr>
        <w:ind w:firstLine="1948"/>
        <w:spacing w:after="0" w:line="277" w:lineRule="auto"/>
        <w:tabs>
          <w:tab w:leader="none" w:pos="2235"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the amount equal to (1) the Canadian Maximum Revolver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sum of (x) the Canadian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Canadian Swing Loans outstanding at such time, and</w:t>
      </w:r>
    </w:p>
    <w:p>
      <w:pPr>
        <w:spacing w:after="0" w:line="62" w:lineRule="exact"/>
        <w:rPr>
          <w:rFonts w:ascii="Arial" w:cs="Arial" w:eastAsia="Arial" w:hAnsi="Arial"/>
          <w:sz w:val="18"/>
          <w:szCs w:val="18"/>
          <w:color w:val="auto"/>
        </w:rPr>
      </w:pPr>
    </w:p>
    <w:p>
      <w:pPr>
        <w:ind w:right="200" w:firstLine="1948"/>
        <w:spacing w:after="0" w:line="291" w:lineRule="auto"/>
        <w:tabs>
          <w:tab w:leader="none" w:pos="2225"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amount equal to (1) the Canadian Borrowing Base as of such date (based upon the Canadian Borrowing Base set forth in the most recent Borrowing Base Certificate delivered by Borrowers to Agent, as adjusted for Reserves established by Agent in accordance with</w:t>
      </w:r>
    </w:p>
    <w:p>
      <w:pPr>
        <w:ind w:right="10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sum of (x) the Canadian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Canadian Swing Loans outstanding at such time, and</w:t>
      </w:r>
    </w:p>
    <w:p>
      <w:pPr>
        <w:spacing w:after="0" w:line="75" w:lineRule="exact"/>
        <w:rPr>
          <w:rFonts w:ascii="Arial" w:cs="Arial" w:eastAsia="Arial" w:hAnsi="Arial"/>
          <w:sz w:val="16"/>
          <w:szCs w:val="16"/>
          <w:color w:val="auto"/>
        </w:rPr>
      </w:pPr>
    </w:p>
    <w:p>
      <w:pPr>
        <w:ind w:right="200" w:firstLine="1948"/>
        <w:spacing w:after="0" w:line="264" w:lineRule="auto"/>
        <w:tabs>
          <w:tab w:leader="none" w:pos="2225"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the amount equal to (1) the Maximum Revolver Amount less (2) the sum of (w) the Canadian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(x) the principal amount of Canadian Swing Loans outstanding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US Revolver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(z) the Dollar Equivalent of the UK Revolver Usage at such time.</w:t>
      </w:r>
    </w:p>
    <w:p>
      <w:pPr>
        <w:spacing w:after="0" w:line="73" w:lineRule="exact"/>
        <w:rPr>
          <w:rFonts w:ascii="Arial" w:cs="Arial" w:eastAsia="Arial" w:hAnsi="Arial"/>
          <w:sz w:val="18"/>
          <w:szCs w:val="18"/>
          <w:color w:val="auto"/>
        </w:rPr>
      </w:pPr>
    </w:p>
    <w:p>
      <w:pPr>
        <w:jc w:val="both"/>
        <w:ind w:firstLine="921"/>
        <w:spacing w:after="0" w:line="259" w:lineRule="auto"/>
        <w:tabs>
          <w:tab w:leader="none" w:pos="11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(including without limitation the conditions to the initial extensions of credit to the UK Borrowers under </w:t>
      </w:r>
      <w:r>
        <w:rPr>
          <w:rFonts w:ascii="Arial" w:cs="Arial" w:eastAsia="Arial" w:hAnsi="Arial"/>
          <w:sz w:val="18"/>
          <w:szCs w:val="18"/>
          <w:u w:val="single" w:color="auto"/>
          <w:color w:val="auto"/>
        </w:rPr>
        <w:t>Section 3.1</w:t>
      </w:r>
      <w:r>
        <w:rPr>
          <w:rFonts w:ascii="Arial" w:cs="Arial" w:eastAsia="Arial" w:hAnsi="Arial"/>
          <w:sz w:val="18"/>
          <w:szCs w:val="18"/>
          <w:color w:val="auto"/>
        </w:rPr>
        <w:t>), and during the term of this Agreement, each Revolving Lender with a UK Revolver Commitment agrees (severally, not jointly or jointly and severally) to make revolving loans in Dollars or Sterling, as selected by Administrative Borrower (“</w:t>
      </w:r>
      <w:r>
        <w:rPr>
          <w:rFonts w:ascii="Arial" w:cs="Arial" w:eastAsia="Arial" w:hAnsi="Arial"/>
          <w:sz w:val="18"/>
          <w:szCs w:val="18"/>
          <w:u w:val="single" w:color="auto"/>
          <w:color w:val="auto"/>
        </w:rPr>
        <w:t>UK Revolving Loans</w:t>
      </w:r>
      <w:r>
        <w:rPr>
          <w:rFonts w:ascii="Arial" w:cs="Arial" w:eastAsia="Arial" w:hAnsi="Arial"/>
          <w:sz w:val="18"/>
          <w:szCs w:val="18"/>
          <w:color w:val="auto"/>
        </w:rPr>
        <w:t xml:space="preserve">”) to UK Borrowers in an amount at any one time outstanding not to exceed the Dollar Equivalent of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700" w:hanging="208"/>
        <w:spacing w:after="0"/>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such Lender’s UK Revolver Commitment, and</w:t>
      </w:r>
    </w:p>
    <w:p>
      <w:pPr>
        <w:spacing w:after="0" w:line="117" w:lineRule="exact"/>
        <w:rPr>
          <w:sz w:val="20"/>
          <w:szCs w:val="20"/>
          <w:color w:val="auto"/>
        </w:rPr>
      </w:pPr>
    </w:p>
    <w:p>
      <w:pPr>
        <w:ind w:left="1760" w:hanging="268"/>
        <w:spacing w:after="0"/>
        <w:tabs>
          <w:tab w:leader="none" w:pos="17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such Lender’s Pro Rata Share of an amount equal to the least of:</w:t>
      </w:r>
    </w:p>
    <w:p>
      <w:pPr>
        <w:spacing w:after="0" w:line="117" w:lineRule="exact"/>
        <w:rPr>
          <w:rFonts w:ascii="Arial" w:cs="Arial" w:eastAsia="Arial" w:hAnsi="Arial"/>
          <w:sz w:val="18"/>
          <w:szCs w:val="18"/>
          <w:color w:val="auto"/>
        </w:rPr>
      </w:pPr>
    </w:p>
    <w:p>
      <w:pPr>
        <w:ind w:right="300" w:firstLine="1948"/>
        <w:spacing w:after="0" w:line="277" w:lineRule="auto"/>
        <w:tabs>
          <w:tab w:leader="none" w:pos="2235" w:val="left"/>
        </w:tabs>
        <w:numPr>
          <w:ilvl w:val="3"/>
          <w:numId w:val="71"/>
        </w:numPr>
        <w:rPr>
          <w:rFonts w:ascii="Arial" w:cs="Arial" w:eastAsia="Arial" w:hAnsi="Arial"/>
          <w:sz w:val="18"/>
          <w:szCs w:val="18"/>
          <w:color w:val="auto"/>
        </w:rPr>
      </w:pPr>
      <w:r>
        <w:rPr>
          <w:rFonts w:ascii="Arial" w:cs="Arial" w:eastAsia="Arial" w:hAnsi="Arial"/>
          <w:sz w:val="18"/>
          <w:szCs w:val="18"/>
          <w:color w:val="auto"/>
        </w:rPr>
        <w:t xml:space="preserve">the amount equal to (1) the UK Maximum Revolver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sum of (x) the UK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UK Swing Loans outstanding at such time, and</w:t>
      </w:r>
    </w:p>
    <w:p>
      <w:pPr>
        <w:spacing w:after="0" w:line="62" w:lineRule="exact"/>
        <w:rPr>
          <w:rFonts w:ascii="Arial" w:cs="Arial" w:eastAsia="Arial" w:hAnsi="Arial"/>
          <w:sz w:val="18"/>
          <w:szCs w:val="18"/>
          <w:color w:val="auto"/>
        </w:rPr>
      </w:pPr>
    </w:p>
    <w:p>
      <w:pPr>
        <w:ind w:right="220" w:firstLine="1948"/>
        <w:spacing w:after="0" w:line="291" w:lineRule="auto"/>
        <w:tabs>
          <w:tab w:leader="none" w:pos="2225" w:val="left"/>
        </w:tabs>
        <w:numPr>
          <w:ilvl w:val="3"/>
          <w:numId w:val="71"/>
        </w:numPr>
        <w:rPr>
          <w:rFonts w:ascii="Arial" w:cs="Arial" w:eastAsia="Arial" w:hAnsi="Arial"/>
          <w:sz w:val="16"/>
          <w:szCs w:val="16"/>
          <w:color w:val="auto"/>
        </w:rPr>
      </w:pPr>
      <w:r>
        <w:rPr>
          <w:rFonts w:ascii="Arial" w:cs="Arial" w:eastAsia="Arial" w:hAnsi="Arial"/>
          <w:sz w:val="16"/>
          <w:szCs w:val="16"/>
          <w:color w:val="auto"/>
        </w:rPr>
        <w:t xml:space="preserve">the amount equal to (1) the UK Borrowing Base as of such date (based upon the UK Borrowing Base set forth in the most recent Borrowing Base Certificate delivered by Borrowers to Agent,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less</w:t>
      </w: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sum of (x) the UK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UK Swing Loans outstanding at such time, and</w:t>
      </w:r>
    </w:p>
    <w:p>
      <w:pPr>
        <w:spacing w:after="0" w:line="102" w:lineRule="exact"/>
        <w:rPr>
          <w:rFonts w:ascii="Arial" w:cs="Arial" w:eastAsia="Arial" w:hAnsi="Arial"/>
          <w:sz w:val="18"/>
          <w:szCs w:val="18"/>
          <w:color w:val="auto"/>
        </w:rPr>
      </w:pPr>
    </w:p>
    <w:p>
      <w:pPr>
        <w:ind w:firstLine="1948"/>
        <w:spacing w:after="0" w:line="264" w:lineRule="auto"/>
        <w:tabs>
          <w:tab w:leader="none" w:pos="2225" w:val="left"/>
        </w:tabs>
        <w:numPr>
          <w:ilvl w:val="3"/>
          <w:numId w:val="72"/>
        </w:numPr>
        <w:rPr>
          <w:rFonts w:ascii="Arial" w:cs="Arial" w:eastAsia="Arial" w:hAnsi="Arial"/>
          <w:sz w:val="18"/>
          <w:szCs w:val="18"/>
          <w:color w:val="auto"/>
        </w:rPr>
      </w:pPr>
      <w:r>
        <w:rPr>
          <w:rFonts w:ascii="Arial" w:cs="Arial" w:eastAsia="Arial" w:hAnsi="Arial"/>
          <w:sz w:val="18"/>
          <w:szCs w:val="18"/>
          <w:color w:val="auto"/>
        </w:rPr>
        <w:t xml:space="preserve">the amount equal to (1) the Maximum Revolver Amount less (2) the sum of (w) the UK Letter of Credit Usage at such time </w:t>
      </w:r>
      <w:r>
        <w:rPr>
          <w:rFonts w:ascii="Arial" w:cs="Arial" w:eastAsia="Arial" w:hAnsi="Arial"/>
          <w:sz w:val="18"/>
          <w:szCs w:val="18"/>
          <w:i w:val="1"/>
          <w:iCs w:val="1"/>
          <w:u w:val="single" w:color="auto"/>
          <w:color w:val="auto"/>
        </w:rPr>
        <w:t>plus</w:t>
      </w:r>
      <w:r>
        <w:rPr>
          <w:rFonts w:ascii="Arial" w:cs="Arial" w:eastAsia="Arial" w:hAnsi="Arial"/>
          <w:sz w:val="18"/>
          <w:szCs w:val="18"/>
          <w:i w:val="1"/>
          <w:iCs w:val="1"/>
          <w:color w:val="auto"/>
        </w:rPr>
        <w:t xml:space="preserve"> </w:t>
      </w:r>
      <w:r>
        <w:rPr>
          <w:rFonts w:ascii="Arial" w:cs="Arial" w:eastAsia="Arial" w:hAnsi="Arial"/>
          <w:sz w:val="18"/>
          <w:szCs w:val="18"/>
          <w:color w:val="auto"/>
        </w:rPr>
        <w:t>(x) the principal amount of UK Swing Loans outstanding at such time,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plus</w:t>
      </w:r>
      <w:r>
        <w:rPr>
          <w:rFonts w:ascii="Arial" w:cs="Arial" w:eastAsia="Arial" w:hAnsi="Arial"/>
          <w:sz w:val="18"/>
          <w:szCs w:val="18"/>
          <w:i w:val="1"/>
          <w:iCs w:val="1"/>
          <w:color w:val="auto"/>
        </w:rPr>
        <w:t xml:space="preserve"> </w:t>
      </w:r>
      <w:r>
        <w:rPr>
          <w:rFonts w:ascii="Arial" w:cs="Arial" w:eastAsia="Arial" w:hAnsi="Arial"/>
          <w:sz w:val="18"/>
          <w:szCs w:val="18"/>
          <w:color w:val="auto"/>
        </w:rPr>
        <w:t>(y) the US Revolver Usage at such time,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plus</w:t>
      </w:r>
      <w:r>
        <w:rPr>
          <w:rFonts w:ascii="Arial" w:cs="Arial" w:eastAsia="Arial" w:hAnsi="Arial"/>
          <w:sz w:val="18"/>
          <w:szCs w:val="18"/>
          <w:i w:val="1"/>
          <w:iCs w:val="1"/>
          <w:color w:val="auto"/>
        </w:rPr>
        <w:t xml:space="preserve"> </w:t>
      </w:r>
      <w:r>
        <w:rPr>
          <w:rFonts w:ascii="Arial" w:cs="Arial" w:eastAsia="Arial" w:hAnsi="Arial"/>
          <w:sz w:val="18"/>
          <w:szCs w:val="18"/>
          <w:color w:val="auto"/>
        </w:rPr>
        <w:t>(z) the Dollar Equivalent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Revolver Usage at such time.</w:t>
      </w:r>
    </w:p>
    <w:p>
      <w:pPr>
        <w:spacing w:after="0" w:line="73" w:lineRule="exact"/>
        <w:rPr>
          <w:rFonts w:ascii="Arial" w:cs="Arial" w:eastAsia="Arial" w:hAnsi="Arial"/>
          <w:sz w:val="18"/>
          <w:szCs w:val="18"/>
          <w:color w:val="auto"/>
        </w:rPr>
      </w:pPr>
    </w:p>
    <w:p>
      <w:pPr>
        <w:ind w:right="60" w:firstLine="921"/>
        <w:spacing w:after="0" w:line="259" w:lineRule="auto"/>
        <w:tabs>
          <w:tab w:leader="none" w:pos="1168"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Amounts borrowed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otherwise become due and payable pursuant to the terms of this Agreement.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274" w:right="279" w:bottom="1440" w:gutter="0" w:footer="0" w:header="0"/>
        </w:sectPr>
      </w:pPr>
    </w:p>
    <w:bookmarkStart w:id="97" w:name="page98"/>
    <w:bookmarkEnd w:id="97"/>
    <w:p>
      <w:pPr>
        <w:ind w:right="60" w:firstLine="921"/>
        <w:spacing w:after="0" w:line="255" w:lineRule="auto"/>
        <w:tabs>
          <w:tab w:leader="none" w:pos="1158"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Anything to the contrary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notwithstanding, Agent shall have the right (but not the obligation) at any time, in the exercise of its Permitted Discretion, to establish and increase or decrease Reserves against the US Borrowing Base, the Canadian Borrowing Base, the UK Borrowing Base, the Maximum Revolver Amount, the Canadian Maximum Revolver Amount or the UK Maximum Revolver Amount. The amount of any Reserve established by Agent, and any changes to the eligibility criteria set forth in the definitions of Eligible Accounts and Eligible Inventory shall have a reasonable relationship to the event, condition, other circumstance, or fact that is the basis for such reserve or change in eligibility and shall not be duplicative of any other reserve established and currently maintained or eligibility criteria.</w:t>
      </w:r>
    </w:p>
    <w:p>
      <w:pPr>
        <w:spacing w:after="0" w:line="85" w:lineRule="exact"/>
        <w:rPr>
          <w:rFonts w:ascii="Arial" w:cs="Arial" w:eastAsia="Arial" w:hAnsi="Arial"/>
          <w:sz w:val="18"/>
          <w:szCs w:val="18"/>
          <w:color w:val="auto"/>
        </w:rPr>
      </w:pPr>
    </w:p>
    <w:p>
      <w:pPr>
        <w:ind w:right="160" w:firstLine="921"/>
        <w:spacing w:after="0" w:line="259" w:lineRule="auto"/>
        <w:tabs>
          <w:tab w:leader="none" w:pos="11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Anything to the contrary in this Section 2.1 notwithstanding, (i) at no time shall the sum of the US Revolver Usage, the Dollar Equivalent of the Canadian Revolver Usage and the Dollar Equivalent of the UK Revolver Usage exceed the Maximum Revolver Amount, (ii) at no time shall the Dollar Equivalent of the Canadian Revolver Usage exceed the Canadian Maximum Revolver Amount and (iii) at no time shall the Dollar Equivalent of the UK Revolver Usage exceed the UK Maximum Revolver Amount.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Borrowing Procedures and Settlements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9" w:lineRule="auto"/>
        <w:tabs>
          <w:tab w:leader="none" w:pos="1157"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Procedure for Borrowing Revolving Loans</w:t>
      </w:r>
      <w:r>
        <w:rPr>
          <w:rFonts w:ascii="Arial" w:cs="Arial" w:eastAsia="Arial" w:hAnsi="Arial"/>
          <w:sz w:val="17"/>
          <w:szCs w:val="17"/>
          <w:color w:val="auto"/>
        </w:rPr>
        <w:t>. Each Borrowing shall be made by a written request by an Authorized Person delivered to Agent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may be delivered through Agent’s electronic platform or portal) and received by Agent no later than 2:00 p.m. (i) on the Business Day that is the requested Funding Date in the case of a request for a Swing Loan, (ii) on the Business Day that is one Business Day prior to the requested Funding Date in the case of a request for a Base Rate Loan, and (iii) on the Business Day that is three Business Days prior to the requested Funding Date in the case of all other requests, specifying (A) the amount of such Borrowing and whether such Borrowing is for the account of US Borrowers, UK Borrowers or Canadian Borrowers (and (x) if for the Canadian Borrowers, whether in Dollars or Canadian Dollars and (y) if for the UK Borrowers whether in Dollars or Sterling), and (B) the requested Funding Date (which shall be a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that Agent may, in its sole discretion, elect to accept as timely requests that are received later than 2:00 p.m. on the applicable Business Day. All Borrowing requests which are not made on-line via Agent’s electronic platform or portal shall be subject to (and unless Agent elects otherwise in the exercise of its sole discretion, such Borrowings shall not be made until the completion of) Agent’s authentication process (with results satisfactory to Agent) prior to the funding of any such requested Revolving Loan. Borrowings for the account of US Borrowers shall be denominated in Dollars, Borrowings for the account of Canadian Borrowers shall be denominated in Dollars or Canadian Dollars (as selected by Administrative Borrower), and Borrowings for the account of UK Borrowers shall be denominated in Dollars or Sterling (as selected by Administrative Borrower).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98" w:name="page99"/>
    <w:bookmarkEnd w:id="98"/>
    <w:p>
      <w:pPr>
        <w:ind w:left="-20" w:firstLine="921"/>
        <w:spacing w:after="0" w:line="284" w:lineRule="auto"/>
        <w:tabs>
          <w:tab w:leader="none" w:pos="1148"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Making of Swing Loans</w:t>
      </w:r>
      <w:r>
        <w:rPr>
          <w:rFonts w:ascii="Arial" w:cs="Arial" w:eastAsia="Arial" w:hAnsi="Arial"/>
          <w:sz w:val="16"/>
          <w:szCs w:val="16"/>
          <w:color w:val="auto"/>
        </w:rPr>
        <w:t>. In the case of a US Swing Loan by US Borrowers, a Canadian Swing Loan by Canadian Borrowers or a UK Swing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 by UK Borrowers and so long as any of (i) the aggregate Dollar Equivalent amount of Swing Loans made since the last Settlement Date, minus all payments or other amounts applied to Swing Loans since the last Settlement Date, plus the amount of the Swing Loan does not exceed 10% of the Maximum Revolver Amount, or (ii) the applicable Swing Lender, in its sole discretion, agrees to make such Swing Loan notwithstanding the foregoing limitation, the US Swing Lender (in the case of a US Swing Loan), the Canadian Swing Lender (in the case of a Canadian Swing Loan) or the UK Swing Lender (in the case of a UK Swing Loan), as applicable, shall make a Revolving Loan (any such Revolving Loan for the account of US Borrowers made by US Swing Lender pursuant to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being referred to as a “</w:t>
      </w:r>
      <w:r>
        <w:rPr>
          <w:rFonts w:ascii="Arial" w:cs="Arial" w:eastAsia="Arial" w:hAnsi="Arial"/>
          <w:sz w:val="16"/>
          <w:szCs w:val="16"/>
          <w:u w:val="single" w:color="auto"/>
          <w:color w:val="auto"/>
        </w:rPr>
        <w:t>US Swing Loan</w:t>
      </w:r>
      <w:r>
        <w:rPr>
          <w:rFonts w:ascii="Arial" w:cs="Arial" w:eastAsia="Arial" w:hAnsi="Arial"/>
          <w:sz w:val="16"/>
          <w:szCs w:val="16"/>
          <w:color w:val="auto"/>
        </w:rPr>
        <w:t>” and all such Revolving Loans for the account of US Borrowers by US Swing Lender being referred to as “</w:t>
      </w:r>
      <w:r>
        <w:rPr>
          <w:rFonts w:ascii="Arial" w:cs="Arial" w:eastAsia="Arial" w:hAnsi="Arial"/>
          <w:sz w:val="16"/>
          <w:szCs w:val="16"/>
          <w:u w:val="single" w:color="auto"/>
          <w:color w:val="auto"/>
        </w:rPr>
        <w:t>US Swing Loans</w:t>
      </w:r>
      <w:r>
        <w:rPr>
          <w:rFonts w:ascii="Arial" w:cs="Arial" w:eastAsia="Arial" w:hAnsi="Arial"/>
          <w:sz w:val="16"/>
          <w:szCs w:val="16"/>
          <w:color w:val="auto"/>
        </w:rPr>
        <w:t xml:space="preserve">”, such Revolving Loan for the account of Canadian Borrowers made by Canadian Swing Lender pursuant to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being referred to as a “</w:t>
      </w:r>
      <w:r>
        <w:rPr>
          <w:rFonts w:ascii="Arial" w:cs="Arial" w:eastAsia="Arial" w:hAnsi="Arial"/>
          <w:sz w:val="16"/>
          <w:szCs w:val="16"/>
          <w:u w:val="single" w:color="auto"/>
          <w:color w:val="auto"/>
        </w:rPr>
        <w:t>Canadian Swing Loan</w:t>
      </w:r>
      <w:r>
        <w:rPr>
          <w:rFonts w:ascii="Arial" w:cs="Arial" w:eastAsia="Arial" w:hAnsi="Arial"/>
          <w:sz w:val="16"/>
          <w:szCs w:val="16"/>
          <w:color w:val="auto"/>
        </w:rPr>
        <w:t>” and all such Revolving Loans for the account of Canadian Borrowers by Canadian Swing Lender being referred to as “</w:t>
      </w:r>
      <w:r>
        <w:rPr>
          <w:rFonts w:ascii="Arial" w:cs="Arial" w:eastAsia="Arial" w:hAnsi="Arial"/>
          <w:sz w:val="16"/>
          <w:szCs w:val="16"/>
          <w:u w:val="single" w:color="auto"/>
          <w:color w:val="auto"/>
        </w:rPr>
        <w:t>Canadian Swing Loans</w:t>
      </w:r>
      <w:r>
        <w:rPr>
          <w:rFonts w:ascii="Arial" w:cs="Arial" w:eastAsia="Arial" w:hAnsi="Arial"/>
          <w:sz w:val="16"/>
          <w:szCs w:val="16"/>
          <w:color w:val="auto"/>
        </w:rPr>
        <w:t xml:space="preserve">”, and such Revolving Loan for the account of UK Borrowers made by UK Swing Lender pursuant to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being referred to as a “</w:t>
      </w:r>
      <w:r>
        <w:rPr>
          <w:rFonts w:ascii="Arial" w:cs="Arial" w:eastAsia="Arial" w:hAnsi="Arial"/>
          <w:sz w:val="16"/>
          <w:szCs w:val="16"/>
          <w:u w:val="single" w:color="auto"/>
          <w:color w:val="auto"/>
        </w:rPr>
        <w:t>UK Swing Loan</w:t>
      </w:r>
      <w:r>
        <w:rPr>
          <w:rFonts w:ascii="Arial" w:cs="Arial" w:eastAsia="Arial" w:hAnsi="Arial"/>
          <w:sz w:val="16"/>
          <w:szCs w:val="16"/>
          <w:color w:val="auto"/>
        </w:rPr>
        <w:t>” and all such Revolving Loans for the account of UK Borrowers by UK Swing Lender being referred to as “</w:t>
      </w:r>
      <w:r>
        <w:rPr>
          <w:rFonts w:ascii="Arial" w:cs="Arial" w:eastAsia="Arial" w:hAnsi="Arial"/>
          <w:sz w:val="16"/>
          <w:szCs w:val="16"/>
          <w:u w:val="single" w:color="auto"/>
          <w:color w:val="auto"/>
        </w:rPr>
        <w:t>UK Swing Loans</w:t>
      </w:r>
      <w:r>
        <w:rPr>
          <w:rFonts w:ascii="Arial" w:cs="Arial" w:eastAsia="Arial" w:hAnsi="Arial"/>
          <w:sz w:val="16"/>
          <w:szCs w:val="16"/>
          <w:color w:val="auto"/>
        </w:rPr>
        <w:t xml:space="preserve">”) available to the applicable Borrower on the Funding Date applicable thereto by transferring immediately available funds in the Applicable Currency in the amount of such Borrowing to the US Designated Account (in the case of a US Swing Loan), the Canadian Designated Account (in the case of Canadian Swing Loan) or the UK Designated Account (in the case of UK Swing Loan). Each Swing Loan shall be deemed to be a Revolving Loan hereunder and shall be subject to all the terms and conditions (including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applicable to other Revolving Loans, except that all payments (including interest) on any Swing Loan shall be payable to the applicable Swing Lender solely for its own account. Subject to the provisions of </w:t>
      </w:r>
      <w:r>
        <w:rPr>
          <w:rFonts w:ascii="Arial" w:cs="Arial" w:eastAsia="Arial" w:hAnsi="Arial"/>
          <w:sz w:val="16"/>
          <w:szCs w:val="16"/>
          <w:u w:val="single" w:color="auto"/>
          <w:color w:val="auto"/>
        </w:rPr>
        <w:t>Section 2.3(d)(ii)</w:t>
      </w:r>
      <w:r>
        <w:rPr>
          <w:rFonts w:ascii="Arial" w:cs="Arial" w:eastAsia="Arial" w:hAnsi="Arial"/>
          <w:sz w:val="16"/>
          <w:szCs w:val="16"/>
          <w:color w:val="auto"/>
        </w:rPr>
        <w:t xml:space="preserve">, no Swing Lender shall make or be obligated to make any Swing Loan if such Swing Lender has actual knowledge that (i) one or more of the applicable conditions precedent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will not be satisfied on the requested Funding Date for the applicable Borrowing, or (ii) the requested Borrowing would exceed US Availability (if a US Borrowing), Canadian Availability (if a Canadian Borrowing) or UK Availability (if a UK Borrowing) on such Funding Date. No Swing Lender shall otherwise be required to determine whether the applicable conditions precedent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have been satisfied on the Funding Date applicable thereto prior to making any Swing Loan. The US Swing Loans shall constitute US Revolving Loans and US Obligations, and bear interest at the rate applicable from time to time to US Revolving Loans that are Base Rate Loans. The Canadian Swing Loans shall constitute Canadian Revolving Loans and Canadian Obligations, and bear interest at the rate applicable from time to time to Canadian Revolving Loans that are Base Rate Loans. The UK Swing Loans shall constitute UK Revolving Loans and UK Obligations, and bear interest at the rate applicable from time to time to UK Revolving Loans that are Base Rate Loans.</w:t>
      </w:r>
    </w:p>
    <w:p>
      <w:pPr>
        <w:spacing w:after="0" w:line="284" w:lineRule="exact"/>
        <w:rPr>
          <w:rFonts w:ascii="Arial" w:cs="Arial" w:eastAsia="Arial" w:hAnsi="Arial"/>
          <w:sz w:val="16"/>
          <w:szCs w:val="16"/>
          <w:color w:val="auto"/>
        </w:rPr>
      </w:pPr>
    </w:p>
    <w:p>
      <w:pPr>
        <w:ind w:left="1140" w:hanging="239"/>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Making of Revolving Loans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 w:right="220" w:firstLine="1492"/>
        <w:spacing w:after="0" w:line="264" w:lineRule="auto"/>
        <w:tabs>
          <w:tab w:leader="none" w:pos="1678"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In the event that the applicable Swing Lender is not obligated to make a Swing Loan, then after receipt of a request for a Borrowing pursuant to </w:t>
      </w:r>
      <w:r>
        <w:rPr>
          <w:rFonts w:ascii="Arial" w:cs="Arial" w:eastAsia="Arial" w:hAnsi="Arial"/>
          <w:sz w:val="18"/>
          <w:szCs w:val="18"/>
          <w:u w:val="single" w:color="auto"/>
          <w:color w:val="auto"/>
        </w:rPr>
        <w:t>Section 2.3(a)(i)</w:t>
      </w:r>
      <w:r>
        <w:rPr>
          <w:rFonts w:ascii="Arial" w:cs="Arial" w:eastAsia="Arial" w:hAnsi="Arial"/>
          <w:sz w:val="18"/>
          <w:szCs w:val="18"/>
          <w:color w:val="auto"/>
        </w:rPr>
        <w:t>, Agent shall notify the applicable Lenders by telecopy, telephone, email, or other electronic form of transmission, of the requested Borrowing (and whether such borrowing is for the account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60" w:top="270" w:right="239" w:bottom="1440" w:gutter="0" w:footer="0" w:header="0"/>
        </w:sectPr>
      </w:pPr>
    </w:p>
    <w:bookmarkStart w:id="99" w:name="page100"/>
    <w:bookmarkEnd w:id="99"/>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US Borrowers, Canadian Borrowers or UK Borrowers); such notification to be sent on the Business Day that is (A) in the case of a Base Rate Loan at least one Business Day prior to the requested Funding Date or (B) in the case of a Non-Base Rate Loan, prior to 11:00 a.m. at least three Business Days prior to the requested Funding Date. If Agent has notified the applicable Lenders of a requested Borrowing on the Business Day that is one Business Day prior to the Funding Date, then each Lender with the applicable Revolving Commitment shall make the amount of such Lender’s Pro Rata Share of the requested Borrowing available to Agent in immediately available funds in the Applicable Currency, to Agent’s US Account, Agent’s Canadian Account or Agent’s UK Account, as applicable, not later than 10:00 a.m. on the Business Day that is the requested Funding Date. After Agent’s receipt of the proceeds of such Revolving Loans from the applicable Lenders, Agent shall make the proceeds thereof available to the applicable Borrower on the applicable Funding Date by transferring immediately available funds in the Applicable Currency equal to such proceeds received by Agent to the US Designated Account, Canadian Designated Account or UK Designated Account,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provisions of </w:t>
      </w:r>
      <w:r>
        <w:rPr>
          <w:rFonts w:ascii="Arial" w:cs="Arial" w:eastAsia="Arial" w:hAnsi="Arial"/>
          <w:sz w:val="17"/>
          <w:szCs w:val="17"/>
          <w:u w:val="single" w:color="auto"/>
          <w:color w:val="auto"/>
        </w:rPr>
        <w:t>Section 2.3(d)(ii)</w:t>
      </w:r>
      <w:r>
        <w:rPr>
          <w:rFonts w:ascii="Arial" w:cs="Arial" w:eastAsia="Arial" w:hAnsi="Arial"/>
          <w:sz w:val="17"/>
          <w:szCs w:val="17"/>
          <w:color w:val="auto"/>
        </w:rPr>
        <w:t xml:space="preserve">, no Lender shall have an obligation to make any Revolving Loan, if (1) one or more of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will not be satisfied on the requested Funding Date for the applicable Borrowing unless such condition has been waived, or (2) the requested Borrowing would exceed the US Availability (in the case of a US Borrowing), Canadian Availability (in the case of a Canadian Borrowing) or UK Availability (in the case of a UK Borrowing)on such Funding Date.</w:t>
      </w:r>
    </w:p>
    <w:p>
      <w:pPr>
        <w:spacing w:after="0" w:line="80" w:lineRule="exact"/>
        <w:rPr>
          <w:sz w:val="20"/>
          <w:szCs w:val="20"/>
          <w:color w:val="auto"/>
        </w:rPr>
      </w:pPr>
    </w:p>
    <w:p>
      <w:pPr>
        <w:ind w:firstLine="1492"/>
        <w:spacing w:after="0" w:line="285" w:lineRule="auto"/>
        <w:tabs>
          <w:tab w:leader="none" w:pos="1748"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US Borrowers, UK Borrowers or Canadian Borrowers, as applicable, the amount of that Lender’s Pro Rata Share of the Borrowing, Agent may assume that each Lender has made or will make such amount available to Agent in immediately available funds in the Applicable Currency on the Funding Date and Agent may (but shall not be so required), in reliance upon such assumption, make available to US Borrowers, UK Borrowers or Canadian Borrowers, as applicable, a corresponding amount. If, on the requested Funding Date, any Lender shall not have remitted the full amount that it is required to make available to Agent in immediately available funds in the Applicable Currency and if Agent has made available to US Borrowers, UK Borrowers or Canadian Borrowers, as applicable, such amount on the requested Funding Date, then such Lender shall make the amount of such Lender’s Pro Rata Share of the requested Borrowing available to Agent in immediately available funds in the Applicable Currency, to Agent’s Applicable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in the Applicable Currency as and when required hereby and if Agent has made available to US Borrowers, UK Borrowers or Canadian Borrowers, as applicable, such amount, then that Lender shall be obligated to immediately remit such amount to Agent, together with interest at the applicable Defaulting Lender Rate for each day until the date on which such amount is so remitted. A notice submitted by Agent to any Lender with respect to amounts owing under this </w:t>
      </w:r>
      <w:r>
        <w:rPr>
          <w:rFonts w:ascii="Arial" w:cs="Arial" w:eastAsia="Arial" w:hAnsi="Arial"/>
          <w:sz w:val="16"/>
          <w:szCs w:val="16"/>
          <w:u w:val="single" w:color="auto"/>
          <w:color w:val="auto"/>
        </w:rPr>
        <w:t>Section 2.3(c)(ii)</w:t>
      </w:r>
      <w:r>
        <w:rPr>
          <w:rFonts w:ascii="Arial" w:cs="Arial" w:eastAsia="Arial" w:hAnsi="Arial"/>
          <w:sz w:val="16"/>
          <w:szCs w:val="16"/>
          <w:color w:val="auto"/>
        </w:rPr>
        <w:t xml:space="preserve"> shall be conclusive, absent manifest error. If the amount that a Lender is required to remit is made available to Agent, then such payment to Agent shall constitute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00" w:name="page101"/>
    <w:bookmarkEnd w:id="10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US Revolving Loans (in the case of Revolving Loans for the account of US Borrowers), UK Revolving Loans (in the case of Revolving Loans for the account of UK Borrowers) or Canadian Revolving Loans (in the case of Revolving Loans for the account of Canadian Borrowers) for all purposes of this Agreement. If such amount is not made available to Agent on the Business Day following the Funding Date, Agent will notify Administrative Borrower of such failure to fund and, upon demand by Agent, US Borrowers (in the case of US Revolving Loans), UK Borrowers (in the case of UK Revolving Loans) and Canadian Borrowers (in the case of Canadian Revolving Loans) shall pay such amount in the Applicable Currency to Agent, together with interest thereon for each day elapsed since the date of such Borrowing, at a rate per annum equal to the interest rate applicable at the time to the applicable Revolving Loans composing such Borrowing.</w:t>
      </w:r>
    </w:p>
    <w:p>
      <w:pPr>
        <w:spacing w:after="0" w:line="77" w:lineRule="exact"/>
        <w:rPr>
          <w:sz w:val="20"/>
          <w:szCs w:val="20"/>
          <w:color w:val="auto"/>
        </w:rPr>
      </w:pPr>
    </w:p>
    <w:p>
      <w:pPr>
        <w:ind w:left="1180" w:hanging="259"/>
        <w:spacing w:after="0"/>
        <w:tabs>
          <w:tab w:leader="none" w:pos="118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Protective Advances and Optional Overadvances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700" w:hanging="208"/>
        <w:spacing w:after="0"/>
        <w:tabs>
          <w:tab w:leader="none" w:pos="1700" w:val="left"/>
        </w:tabs>
        <w:numPr>
          <w:ilvl w:val="2"/>
          <w:numId w:val="77"/>
        </w:numPr>
        <w:rPr>
          <w:rFonts w:ascii="Arial" w:cs="Arial" w:eastAsia="Arial" w:hAnsi="Arial"/>
          <w:sz w:val="16"/>
          <w:szCs w:val="16"/>
          <w:color w:val="auto"/>
        </w:rPr>
      </w:pPr>
      <w:r>
        <w:rPr>
          <w:rFonts w:ascii="Arial" w:cs="Arial" w:eastAsia="Arial" w:hAnsi="Arial"/>
          <w:sz w:val="16"/>
          <w:szCs w:val="16"/>
          <w:color w:val="auto"/>
        </w:rPr>
        <w:t xml:space="preserve">Any contrary provision of this Agreement or any other Loan Document notwithstanding (but subject to </w:t>
      </w:r>
      <w:r>
        <w:rPr>
          <w:rFonts w:ascii="Arial" w:cs="Arial" w:eastAsia="Arial" w:hAnsi="Arial"/>
          <w:sz w:val="16"/>
          <w:szCs w:val="16"/>
          <w:u w:val="single" w:color="auto"/>
          <w:color w:val="auto"/>
        </w:rPr>
        <w:t>Section 2.3(d)(iv)</w:t>
      </w:r>
      <w:r>
        <w:rPr>
          <w:rFonts w:ascii="Arial" w:cs="Arial" w:eastAsia="Arial" w:hAnsi="Arial"/>
          <w:sz w:val="16"/>
          <w:szCs w:val="16"/>
          <w:color w:val="auto"/>
        </w:rPr>
        <w:t>) at any time</w:t>
      </w:r>
    </w:p>
    <w:p>
      <w:pPr>
        <w:spacing w:after="0" w:line="46" w:lineRule="exact"/>
        <w:rPr>
          <w:rFonts w:ascii="Arial" w:cs="Arial" w:eastAsia="Arial" w:hAnsi="Arial"/>
          <w:sz w:val="16"/>
          <w:szCs w:val="16"/>
          <w:color w:val="auto"/>
        </w:rPr>
      </w:pPr>
    </w:p>
    <w:p>
      <w:pPr>
        <w:ind w:firstLine="8"/>
        <w:spacing w:after="0" w:line="267" w:lineRule="auto"/>
        <w:tabs>
          <w:tab w:leader="none" w:pos="29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after the occurrence and during the continuance of an Event of Default, or (B) that any of the other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are not satisfied, Agent hereby is authorized by Borrowers and the Lenders, from time to time, in Agent’s sole discretion, to make US Revolving Loans to, or for the benefit of, US Borrowers, UK Revolving Loans to, or for the benefit of, UK Borrowers, and/or Canadian Revolving Loans to, or for the benefit of, Canadian Borrowers, in each case, on behalf of the applicable Revolving Lenders, that Agent, in its Permitted Discretion, deems necessary or desirable (1) to preserve or protect the Collateral, or any portion thereof, or (2) to enhance the likelihood of repayment of the Obligations (other than the Bank Product Obligations) (the US Revolving Loans described in this </w:t>
      </w:r>
      <w:r>
        <w:rPr>
          <w:rFonts w:ascii="Arial" w:cs="Arial" w:eastAsia="Arial" w:hAnsi="Arial"/>
          <w:sz w:val="17"/>
          <w:szCs w:val="17"/>
          <w:u w:val="single" w:color="auto"/>
          <w:color w:val="auto"/>
        </w:rPr>
        <w:t>Section 2.3(d)(i)</w:t>
      </w:r>
      <w:r>
        <w:rPr>
          <w:rFonts w:ascii="Arial" w:cs="Arial" w:eastAsia="Arial" w:hAnsi="Arial"/>
          <w:sz w:val="17"/>
          <w:szCs w:val="17"/>
          <w:color w:val="auto"/>
        </w:rPr>
        <w:t xml:space="preserve"> shall be referred to as “</w:t>
      </w:r>
      <w:r>
        <w:rPr>
          <w:rFonts w:ascii="Arial" w:cs="Arial" w:eastAsia="Arial" w:hAnsi="Arial"/>
          <w:sz w:val="17"/>
          <w:szCs w:val="17"/>
          <w:u w:val="single" w:color="auto"/>
          <w:color w:val="auto"/>
        </w:rPr>
        <w:t>US Protective Advances</w:t>
      </w:r>
      <w:r>
        <w:rPr>
          <w:rFonts w:ascii="Arial" w:cs="Arial" w:eastAsia="Arial" w:hAnsi="Arial"/>
          <w:sz w:val="17"/>
          <w:szCs w:val="17"/>
          <w:color w:val="auto"/>
        </w:rPr>
        <w:t xml:space="preserve">”, the UK Revolving Loans described in this </w:t>
      </w:r>
      <w:r>
        <w:rPr>
          <w:rFonts w:ascii="Arial" w:cs="Arial" w:eastAsia="Arial" w:hAnsi="Arial"/>
          <w:sz w:val="17"/>
          <w:szCs w:val="17"/>
          <w:u w:val="single" w:color="auto"/>
          <w:color w:val="auto"/>
        </w:rPr>
        <w:t>Section 2.3(d)(i)</w:t>
      </w:r>
      <w:r>
        <w:rPr>
          <w:rFonts w:ascii="Arial" w:cs="Arial" w:eastAsia="Arial" w:hAnsi="Arial"/>
          <w:sz w:val="17"/>
          <w:szCs w:val="17"/>
          <w:color w:val="auto"/>
        </w:rPr>
        <w:t xml:space="preserve"> shall be referred to as “</w:t>
      </w:r>
      <w:r>
        <w:rPr>
          <w:rFonts w:ascii="Arial" w:cs="Arial" w:eastAsia="Arial" w:hAnsi="Arial"/>
          <w:sz w:val="17"/>
          <w:szCs w:val="17"/>
          <w:u w:val="single" w:color="auto"/>
          <w:color w:val="auto"/>
        </w:rPr>
        <w:t>UK Protective Advances</w:t>
      </w:r>
      <w:r>
        <w:rPr>
          <w:rFonts w:ascii="Arial" w:cs="Arial" w:eastAsia="Arial" w:hAnsi="Arial"/>
          <w:sz w:val="17"/>
          <w:szCs w:val="17"/>
          <w:color w:val="auto"/>
        </w:rPr>
        <w:t xml:space="preserve">” and the Canadian Revolving Loans described in this </w:t>
      </w:r>
      <w:r>
        <w:rPr>
          <w:rFonts w:ascii="Arial" w:cs="Arial" w:eastAsia="Arial" w:hAnsi="Arial"/>
          <w:sz w:val="17"/>
          <w:szCs w:val="17"/>
          <w:u w:val="single" w:color="auto"/>
          <w:color w:val="auto"/>
        </w:rPr>
        <w:t>Section 2.3(d)(i)</w:t>
      </w:r>
      <w:r>
        <w:rPr>
          <w:rFonts w:ascii="Arial" w:cs="Arial" w:eastAsia="Arial" w:hAnsi="Arial"/>
          <w:sz w:val="17"/>
          <w:szCs w:val="17"/>
          <w:color w:val="auto"/>
        </w:rPr>
        <w:t xml:space="preserve"> shall be referred to as “</w:t>
      </w:r>
      <w:r>
        <w:rPr>
          <w:rFonts w:ascii="Arial" w:cs="Arial" w:eastAsia="Arial" w:hAnsi="Arial"/>
          <w:sz w:val="17"/>
          <w:szCs w:val="17"/>
          <w:u w:val="single" w:color="auto"/>
          <w:color w:val="auto"/>
        </w:rPr>
        <w:t>Canadian Protective Advances</w:t>
      </w:r>
      <w:r>
        <w:rPr>
          <w:rFonts w:ascii="Arial" w:cs="Arial" w:eastAsia="Arial" w:hAnsi="Arial"/>
          <w:sz w:val="17"/>
          <w:szCs w:val="17"/>
          <w:color w:val="auto"/>
        </w:rPr>
        <w:t>”). Notwithstanding the foregoing, the aggregate Dollar Equivalent principal amount of all Protective Advances outstanding at any one time shall not exceed 10% of the Maximum Revolver Amount. Agent’s authorization to make Protective Advances may be revoked at any time by the Required Lenders delivering written notice of such revocation to Agent. Any such revocation shall become effective prospectively upon Agent’s receipt thereof.</w:t>
      </w:r>
    </w:p>
    <w:p>
      <w:pPr>
        <w:spacing w:after="0" w:line="78" w:lineRule="exact"/>
        <w:rPr>
          <w:rFonts w:ascii="Arial" w:cs="Arial" w:eastAsia="Arial" w:hAnsi="Arial"/>
          <w:sz w:val="17"/>
          <w:szCs w:val="17"/>
          <w:color w:val="auto"/>
        </w:rPr>
      </w:pPr>
    </w:p>
    <w:p>
      <w:pPr>
        <w:ind w:right="60" w:firstLine="1492"/>
        <w:spacing w:after="0" w:line="290" w:lineRule="auto"/>
        <w:tabs>
          <w:tab w:leader="none" w:pos="1748" w:val="left"/>
        </w:tabs>
        <w:numPr>
          <w:ilvl w:val="2"/>
          <w:numId w:val="78"/>
        </w:numPr>
        <w:rPr>
          <w:rFonts w:ascii="Arial" w:cs="Arial" w:eastAsia="Arial" w:hAnsi="Arial"/>
          <w:sz w:val="16"/>
          <w:szCs w:val="16"/>
          <w:color w:val="auto"/>
        </w:rPr>
      </w:pPr>
      <w:r>
        <w:rPr>
          <w:rFonts w:ascii="Arial" w:cs="Arial" w:eastAsia="Arial" w:hAnsi="Arial"/>
          <w:sz w:val="16"/>
          <w:szCs w:val="16"/>
          <w:color w:val="auto"/>
        </w:rPr>
        <w:t xml:space="preserve">Any contrary provision of this Agreement or any other Loan Document notwithstanding, the Lenders hereby authorize Agent or the applicable Swing Lender, as applicable, and either Agent or the applicable Swing Lender, as applicable, may, but is not obligated to, knowingly and intentionally, continue to make US Revolving Loans (including US Swing Loans) to US Borrowers, UK Revolving Loans (including UK Swing Loans) to UK Borrowers and Canadian Revolving Loans (including Canadian Swing Loans) to Canadian Borrowers notwithstanding that an Overadvance exists or would be created thereby, so long as (A) with respect to any such US Revolving Loans, (i) after giving effect to any such US Revolving Loans, the outstanding US Revolver Usage does not exceed the US Borrowing Base (based upon the most recent Borrowing Base Certificate delivered by Borrowers to Agent) by more than 10% of the Maximum Revolver Amount, and (ii) subject to </w:t>
      </w:r>
      <w:r>
        <w:rPr>
          <w:rFonts w:ascii="Arial" w:cs="Arial" w:eastAsia="Arial" w:hAnsi="Arial"/>
          <w:sz w:val="16"/>
          <w:szCs w:val="16"/>
          <w:u w:val="single" w:color="auto"/>
          <w:color w:val="auto"/>
        </w:rPr>
        <w:t>Section 2.3(d)(iv)</w:t>
      </w:r>
      <w:r>
        <w:rPr>
          <w:rFonts w:ascii="Arial" w:cs="Arial" w:eastAsia="Arial" w:hAnsi="Arial"/>
          <w:sz w:val="16"/>
          <w:szCs w:val="16"/>
          <w:color w:val="auto"/>
        </w:rPr>
        <w:t xml:space="preserve"> below, after giving effect to such US Revolving Loans, the sum of the outstanding US Revolver Usage (except for and excluding amounts charged to the US Loan Account for interest, fees, or Lender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274" w:right="299" w:bottom="1440" w:gutter="0" w:footer="0" w:header="0"/>
        </w:sectPr>
      </w:pPr>
    </w:p>
    <w:bookmarkStart w:id="101" w:name="page102"/>
    <w:bookmarkEnd w:id="10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Group Expenses), the Dollar Equivalent of the UK Revolver Usage (except for and excluding amount charged to the UK Loan Account for interest, fees and Lender Group Expenses), and the Dollar Equivalent of the Canadian Revolver Usage (except for and excluding amount charged to the Canadian Loan Account for interest, fees and Lender Group Expenses) does not exceed the Maximum Revolver Amount, (B) with respect to any such Canadian Revolving Loans, (i) after giving effect to such Canadian Revolving Loans, the outstanding Dollar Equivalent of the Canadian Revolver Usage does not exceed the Canadian Borrowing Base (based upon the most recent Borrowing Base Certificate delivered by Borrowers to Agent) by more than 10% of the Canadian Maximum Revolver Amount, and (ii) subject to </w:t>
      </w:r>
      <w:r>
        <w:rPr>
          <w:rFonts w:ascii="Arial" w:cs="Arial" w:eastAsia="Arial" w:hAnsi="Arial"/>
          <w:sz w:val="17"/>
          <w:szCs w:val="17"/>
          <w:u w:val="single" w:color="auto"/>
          <w:color w:val="auto"/>
        </w:rPr>
        <w:t>Section 2.3(d)(iv)</w:t>
      </w:r>
      <w:r>
        <w:rPr>
          <w:rFonts w:ascii="Arial" w:cs="Arial" w:eastAsia="Arial" w:hAnsi="Arial"/>
          <w:sz w:val="17"/>
          <w:szCs w:val="17"/>
          <w:color w:val="auto"/>
        </w:rPr>
        <w:t xml:space="preserve"> below, after giving effect to such Canadian Revolving Loans, the sum of the outstanding Dollar Equivalent of the Canadian Revolver Usage (except for and excluding amounts charged to the Canadian Loan Account for interest, fees, or Lender Group Expenses), UK Revolver Usage and US Revolver Usage does not exceed the Maximum Revolver Amount and (C) with respect to any such UK Revolving Loans, (i) after giving effect to such UK Revolving Loans, the outstanding Dollar Equivalent of the UK Revolver Usage does not exceed the UK Borrowing Base (based upon the most recent Borrowing Base Certificate delivered by Borrowers to Agent) by more than 10% of the UK Maximum Revolver Amount, and (ii) subject to </w:t>
      </w:r>
      <w:r>
        <w:rPr>
          <w:rFonts w:ascii="Arial" w:cs="Arial" w:eastAsia="Arial" w:hAnsi="Arial"/>
          <w:sz w:val="17"/>
          <w:szCs w:val="17"/>
          <w:u w:val="single" w:color="auto"/>
          <w:color w:val="auto"/>
        </w:rPr>
        <w:t>Section 2.3(d)(iv)</w:t>
      </w:r>
      <w:r>
        <w:rPr>
          <w:rFonts w:ascii="Arial" w:cs="Arial" w:eastAsia="Arial" w:hAnsi="Arial"/>
          <w:sz w:val="17"/>
          <w:szCs w:val="17"/>
          <w:color w:val="auto"/>
        </w:rPr>
        <w:t xml:space="preserve"> below, after giving effect to such UK Revolving Loans, the sum of the outstanding Dollar Equivalent of the UK Revolver Usage (except for and excluding amounts charged to the UK Loan Account for interest, fees, or Lender Group Expenses), Canadian Revolver Usage and US Revolver Usage does not exceed the Maximum Revolver Amount. In the event Agent obtains actual knowledge that the applicable US Revolver Usage, UK Revolver Usage or Canadian Revolver Usage exceeds the amounts permitted by this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regardless of the amount of, or reason for, such excess, Agent shall notify the Lenders as soon as practicable (and prior to making any (or any additional) intentional Overadvances (except for and excluding amounts charged to the applicable Loan Account for interest, fees, or Lender Group Expenses) unless Agent determines that prior notice would result in imminent harm to the Collateral or its value, in which case Agent may make such Overadvances and provide notice as promptly as practicable thereafter), and the Lenders with applicable Revolver Commitments thereupon shall, together with Agent, jointly determine the terms of arrangements that shall be implemented with the applicable Borrowers intended to reduce, within a reasonable time, the outstanding principal amount of the applicable Revolving Loans to such Borrowers to an amount permitted by the preceding sentence.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Borrowers, which shall continue to be bound by the provisions of </w:t>
      </w:r>
      <w:r>
        <w:rPr>
          <w:rFonts w:ascii="Arial" w:cs="Arial" w:eastAsia="Arial" w:hAnsi="Arial"/>
          <w:sz w:val="17"/>
          <w:szCs w:val="17"/>
          <w:u w:val="single" w:color="auto"/>
          <w:color w:val="auto"/>
        </w:rPr>
        <w:t>Section 2.4(e)</w:t>
      </w:r>
      <w:r>
        <w:rPr>
          <w:rFonts w:ascii="Arial" w:cs="Arial" w:eastAsia="Arial" w:hAnsi="Arial"/>
          <w:sz w:val="17"/>
          <w:szCs w:val="17"/>
          <w:color w:val="auto"/>
        </w:rPr>
        <w:t>. Agent’s and Swing Lender’s authorization to make intentional Overadvances may be revoked at any time by the Required Lenders delivering written notice of such revocation to Agent. Any such revocation shall become effective prospectively upon Agent’s receipt thereof.</w:t>
      </w:r>
    </w:p>
    <w:p>
      <w:pPr>
        <w:spacing w:after="0" w:line="74" w:lineRule="exact"/>
        <w:rPr>
          <w:sz w:val="20"/>
          <w:szCs w:val="20"/>
          <w:color w:val="auto"/>
        </w:rPr>
      </w:pPr>
    </w:p>
    <w:p>
      <w:pPr>
        <w:ind w:right="60" w:firstLine="1492"/>
        <w:spacing w:after="0" w:line="259" w:lineRule="auto"/>
        <w:tabs>
          <w:tab w:leader="none" w:pos="17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US Protective Advance and each US Overadvance (each, “</w:t>
      </w:r>
      <w:r>
        <w:rPr>
          <w:rFonts w:ascii="Arial" w:cs="Arial" w:eastAsia="Arial" w:hAnsi="Arial"/>
          <w:sz w:val="18"/>
          <w:szCs w:val="18"/>
          <w:u w:val="single" w:color="auto"/>
          <w:color w:val="auto"/>
        </w:rPr>
        <w:t>US Extraordinary Advance</w:t>
      </w:r>
      <w:r>
        <w:rPr>
          <w:rFonts w:ascii="Arial" w:cs="Arial" w:eastAsia="Arial" w:hAnsi="Arial"/>
          <w:sz w:val="18"/>
          <w:szCs w:val="18"/>
          <w:color w:val="auto"/>
        </w:rPr>
        <w:t>”) shall be deemed to be a US Revolving Loan hereunder, each UK Protective Advance and each UK Overadvance (each, “</w:t>
      </w:r>
      <w:r>
        <w:rPr>
          <w:rFonts w:ascii="Arial" w:cs="Arial" w:eastAsia="Arial" w:hAnsi="Arial"/>
          <w:sz w:val="18"/>
          <w:szCs w:val="18"/>
          <w:u w:val="single" w:color="auto"/>
          <w:color w:val="auto"/>
        </w:rPr>
        <w:t>UK Extraordinary Advance</w:t>
      </w:r>
      <w:r>
        <w:rPr>
          <w:rFonts w:ascii="Arial" w:cs="Arial" w:eastAsia="Arial" w:hAnsi="Arial"/>
          <w:sz w:val="18"/>
          <w:szCs w:val="18"/>
          <w:color w:val="auto"/>
        </w:rPr>
        <w:t>”) shall be deemed to be a UK Revolving Loan hereunder and each Canadian Protective Advance and Canadian Overadvance (each, a “</w:t>
      </w:r>
      <w:r>
        <w:rPr>
          <w:rFonts w:ascii="Arial" w:cs="Arial" w:eastAsia="Arial" w:hAnsi="Arial"/>
          <w:sz w:val="18"/>
          <w:szCs w:val="18"/>
          <w:u w:val="single" w:color="auto"/>
          <w:color w:val="auto"/>
        </w:rPr>
        <w:t>Canadian Extraordinary Advance</w:t>
      </w:r>
      <w:r>
        <w:rPr>
          <w:rFonts w:ascii="Arial" w:cs="Arial" w:eastAsia="Arial" w:hAnsi="Arial"/>
          <w:sz w:val="18"/>
          <w:szCs w:val="18"/>
          <w:color w:val="auto"/>
        </w:rPr>
        <w:t>”) shall be deemed a Canadian Revolving Loan hereunder. No Extraordinary Advance shall be eligible to be a Non-Base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02" w:name="page103"/>
    <w:bookmarkEnd w:id="10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Loan. Prior to Settlement of any Extraordinary Advances, all payments with respect thereto, including interest thereon, shall be payable to Agent solely for its own account. Each Revolving Lender shall be obligated to settle with Agent as provided in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as applicable, for the amount of such Lender’s Pro Rata Share of any Extraordinary Advance. The US Extraordinary Advances shall be repayable on demand, constitute US Obligations hereunder, and bear interest at the rate applicable from time to time to US Revolving Loans that are Base Rate Loans, the UK Extraordinary Advances shall be repayable on demand, constitute UK Obligations hereunder, and bear interest at the rate applicable from time to time to UK Revolving Loans that are Base Rate Loans and the Canadian Extraordinary Advances shall be repayable on demand, constitute Canadian Obligations hereunder, and bear interest at the rate applicable from time to time to Canadian Revolving Loans that are Base Rate Loans. The provisions of this </w:t>
      </w:r>
      <w:r>
        <w:rPr>
          <w:rFonts w:ascii="Arial" w:cs="Arial" w:eastAsia="Arial" w:hAnsi="Arial"/>
          <w:sz w:val="16"/>
          <w:szCs w:val="16"/>
          <w:u w:val="single" w:color="auto"/>
          <w:color w:val="auto"/>
        </w:rPr>
        <w:t>Section 2.3(d)</w:t>
      </w:r>
      <w:r>
        <w:rPr>
          <w:rFonts w:ascii="Arial" w:cs="Arial" w:eastAsia="Arial" w:hAnsi="Arial"/>
          <w:sz w:val="16"/>
          <w:szCs w:val="16"/>
          <w:color w:val="auto"/>
        </w:rPr>
        <w:t xml:space="preserve"> are for the exclusive benefit of Agent, Swing Lender, and the Lenders and are not intended to benefit Borrowers (or any other Loan Party) in any way.</w:t>
      </w:r>
    </w:p>
    <w:p>
      <w:pPr>
        <w:spacing w:after="0" w:line="58" w:lineRule="exact"/>
        <w:rPr>
          <w:sz w:val="20"/>
          <w:szCs w:val="20"/>
          <w:color w:val="auto"/>
        </w:rPr>
      </w:pPr>
    </w:p>
    <w:p>
      <w:pPr>
        <w:ind w:right="100" w:firstLine="1492"/>
        <w:spacing w:after="0" w:line="286" w:lineRule="auto"/>
        <w:tabs>
          <w:tab w:leader="none" w:pos="1788" w:val="left"/>
        </w:tabs>
        <w:numPr>
          <w:ilvl w:val="1"/>
          <w:numId w:val="80"/>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or any other Loan Document to the contrary, no Extraordinary Advance may be made by Agent if such Extraordinary Advance would cause the aggregate Dollar Equivalent of the Revolver Usage to exceed the Maximum Revolver Amount or any Lender’s Pro Rata Share of the Dollar Equivalent of the Revolver Usage to exceed such Lender’s Revolver Commitments.</w:t>
      </w:r>
    </w:p>
    <w:p>
      <w:pPr>
        <w:spacing w:after="0" w:line="53" w:lineRule="exact"/>
        <w:rPr>
          <w:rFonts w:ascii="Arial" w:cs="Arial" w:eastAsia="Arial" w:hAnsi="Arial"/>
          <w:sz w:val="17"/>
          <w:szCs w:val="17"/>
          <w:color w:val="auto"/>
        </w:rPr>
      </w:pPr>
    </w:p>
    <w:p>
      <w:pPr>
        <w:ind w:right="60" w:firstLine="921"/>
        <w:spacing w:after="0" w:line="255" w:lineRule="auto"/>
        <w:tabs>
          <w:tab w:leader="none" w:pos="1157"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It is agreed that each Lender’s funded portion of (i) the US Revolving Loans is intended by the Lenders to equal,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such Lender’s Pro Rata Share of the outstanding US Revolving Loans, (ii) the UK Revolving Loans is intended by the Lenders to equal, at all times, such Lender’s Pro Rata Share of the outstanding UK Revolving Loans and (iii) Canadian Revolving Loans is intended by the Lenders to equal, at all times, such Lender’s Pro Rata Share of the outstanding Canadian Revolving Loans. Such agreement notwithstanding, Agent, Swing Lenders, and the other Lenders agree (which agreement shall not be for the benefit of Borrowers) that in order to facilitate the administration of this Agreement and the other Loan Documents, settlement among the Lenders as to the Revolving Loans (including Swing Loans and Extraordinary Advances) shall take place on a periodic basis in accordance with the following provisions:</w:t>
      </w:r>
    </w:p>
    <w:p>
      <w:pPr>
        <w:spacing w:after="0" w:line="85" w:lineRule="exact"/>
        <w:rPr>
          <w:rFonts w:ascii="Arial" w:cs="Arial" w:eastAsia="Arial" w:hAnsi="Arial"/>
          <w:sz w:val="18"/>
          <w:szCs w:val="18"/>
          <w:color w:val="auto"/>
        </w:rPr>
      </w:pPr>
    </w:p>
    <w:p>
      <w:pPr>
        <w:ind w:firstLine="1492"/>
        <w:spacing w:after="0" w:line="253" w:lineRule="auto"/>
        <w:tabs>
          <w:tab w:leader="none" w:pos="169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Agent shall request settlement (“</w:t>
      </w:r>
      <w:r>
        <w:rPr>
          <w:rFonts w:ascii="Arial" w:cs="Arial" w:eastAsia="Arial" w:hAnsi="Arial"/>
          <w:sz w:val="18"/>
          <w:szCs w:val="18"/>
          <w:u w:val="single" w:color="auto"/>
          <w:color w:val="auto"/>
        </w:rPr>
        <w:t>Settlement</w:t>
      </w:r>
      <w:r>
        <w:rPr>
          <w:rFonts w:ascii="Arial" w:cs="Arial" w:eastAsia="Arial" w:hAnsi="Arial"/>
          <w:sz w:val="18"/>
          <w:szCs w:val="18"/>
          <w:color w:val="auto"/>
        </w:rPr>
        <w:t>”) with the Lenders on a weekly basis, or on a more frequent basis if so determined by Agent in its sole discretion (1) on behalf of US Swing Lender, with respect to the outstanding US Swing Loans, (2) on behalf of Canadian Swing Lender, with respect to the outstanding Canadian Swing Loans, (3) on behalf of UK Swing Lender, with respect to the outstanding UK Swing Loans, (4) for itself, with respect to the outstanding Extraordinary Advances, and (5) with respect to Loan Parties’ or any of their Subsidiaries’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Such notice of a Settlement Date shall include a summary statement of the amount of outstanding US Revolving Loans (including US Swing Loans and US Extraordinary Advances), UK Revolving Loans (including UK Swing Loans and UK Extraordinary Advances) and Canadian Revolving Loans (including Canadian Swing Loans and Canadian Extraordinary Advances) for the period since the prior Settlement Date. Subject to the terms and conditions contained herein (including </w:t>
      </w:r>
      <w:r>
        <w:rPr>
          <w:rFonts w:ascii="Arial" w:cs="Arial" w:eastAsia="Arial" w:hAnsi="Arial"/>
          <w:sz w:val="18"/>
          <w:szCs w:val="18"/>
          <w:u w:val="single" w:color="auto"/>
          <w:color w:val="auto"/>
        </w:rPr>
        <w:t>Section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03" w:name="page104"/>
    <w:bookmarkEnd w:id="103"/>
    <w:p>
      <w:pPr>
        <w:spacing w:after="0" w:line="267"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2.3(g)</w:t>
      </w:r>
      <w:r>
        <w:rPr>
          <w:rFonts w:ascii="Arial" w:cs="Arial" w:eastAsia="Arial" w:hAnsi="Arial"/>
          <w:sz w:val="17"/>
          <w:szCs w:val="17"/>
          <w:color w:val="auto"/>
        </w:rPr>
        <w:t>): (y) if the amount of the applicable Revolving Loans (including applicable Swing Loans and applicable Extraordinary Advances) made by a Lender that is not a Defaulting Lender exceeds such Lender’s Pro Rata Share of the Revolving Loans (including Swing Loans and Extraordinary Advances) as of a Settlement Date, then Agent shall, by no later than 12:00 p.m. on the Settlement Date, transfer in immediately available funds in the Applicable Currency to a Deposit Account of such Lender (as such Lender may designate), an amount such that each such Lender shall, upon receipt of such amount, have as of the Settlement Date, its Pro Rata Share of the US Revolving Loans (including US Swing Loans and US Extraordinary Advances), the UK Revolving Loans (including UK Swing Loans and UK Extraordinary Advances) and the Canadian Revolving Loans (including Canadian Swing Loans and Canadian Extraordinary Advances), as applicable, and (z) if the amount of the applicable Revolving Loans (including the applicable Swing Loans and applicable Extraordinary Advances) made by a Lender is less than such Lender’s Pro Rata Share of the applicable Revolving Loans (including applicable Swing Loans and applicable Extraordinary Advances) as of a Settlement Date, such Lender shall no later than 12:00 p.m. on the Settlement Date transfer in immediately available funds in the Applicable Currency to Agent’s Applicable Account, an amount such that each such Lender shall, upon transfer of such amount, have as of the Settlement Date, its Pro Rata Share of the US Revolving Loans (including US Swing Loans and US Extraordinary Advances), the UK Revolving Loans (including UK Swing Loans and UK Extraordinary Advances) and Canadian Revolving Loans (including Canadian Swing Loans and Canadian Extraordinary Advances). Such amounts made available to Agent under clause (z) of the immediately preceding sentence shall be applied against the amounts of the applicable Swing Loans or Extraordinary Advances and, together with the portion of such Sing Loans or Extraordinary Advances representing the applicable Swing Lender’s Pro Rata Share thereof, shall constitute US Revolving Loans, UK Revolving Loans or Canadian Revolving Loans, as applicable,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83" w:lineRule="exact"/>
        <w:rPr>
          <w:sz w:val="20"/>
          <w:szCs w:val="20"/>
          <w:color w:val="auto"/>
        </w:rPr>
      </w:pPr>
    </w:p>
    <w:p>
      <w:pPr>
        <w:ind w:right="100" w:firstLine="1492"/>
        <w:spacing w:after="0" w:line="257" w:lineRule="auto"/>
        <w:tabs>
          <w:tab w:leader="none" w:pos="17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determining whether a Lender’s balance of the applicable Revolving Loans (including Swing Loans and Extraordinary Advances) is less than, equal to, or greater than such Lender’s Pro Rata Share of the applicable Revolving Loans (including Swing Loans and Extraordinary Advances) as of a Settlement Date, Agent shall, as part of the relevant Settlement, apply to such balance the portion of payments applicable to such Obligations actually received in good funds by Agent with respect to principal, interest, fees payable by Borrowers and allocable to the Lenders hereunder, and proceeds of Collateral.</w:t>
      </w:r>
    </w:p>
    <w:p>
      <w:pPr>
        <w:spacing w:after="0" w:line="80" w:lineRule="exact"/>
        <w:rPr>
          <w:rFonts w:ascii="Arial" w:cs="Arial" w:eastAsia="Arial" w:hAnsi="Arial"/>
          <w:sz w:val="18"/>
          <w:szCs w:val="18"/>
          <w:color w:val="auto"/>
        </w:rPr>
      </w:pPr>
    </w:p>
    <w:p>
      <w:pPr>
        <w:ind w:firstLine="1492"/>
        <w:spacing w:after="0" w:line="273" w:lineRule="auto"/>
        <w:tabs>
          <w:tab w:leader="none" w:pos="1798" w:val="left"/>
        </w:tabs>
        <w:numPr>
          <w:ilvl w:val="0"/>
          <w:numId w:val="82"/>
        </w:numPr>
        <w:rPr>
          <w:rFonts w:ascii="Arial" w:cs="Arial" w:eastAsia="Arial" w:hAnsi="Arial"/>
          <w:sz w:val="17"/>
          <w:szCs w:val="17"/>
          <w:color w:val="auto"/>
        </w:rPr>
      </w:pPr>
      <w:r>
        <w:rPr>
          <w:rFonts w:ascii="Arial" w:cs="Arial" w:eastAsia="Arial" w:hAnsi="Arial"/>
          <w:sz w:val="17"/>
          <w:szCs w:val="17"/>
          <w:color w:val="auto"/>
        </w:rPr>
        <w:t>Between Settlement Dates, Agent, to the extent Extraordinary Advances for the account of Agent or Swing Loans for the account of a Swing Lender are outstanding, may pay over to Agent or such Swing Lender, as applicable, any payments or other amounts received by Agent, that in accordance with the terms of this Agreement would be applied to the reduction of the Revolving Loans, for application to the Extraordinary Advances or Swing Loans. Between Settlement Dates, Agent, to the extent no Extraordinary Advances or Swing Loans are outstanding, may pay over to the applicable Swing Lender any payments or other amounts received by Agent, that in accordance with the terms of this Agreement would be applied to the reduction of the Revolving Loans, for application to the applicable Swing Lender’s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04" w:name="page105"/>
    <w:bookmarkEnd w:id="104"/>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 Rata Share of the applicable Revolving Loans. If, as of any Settlement Date, payments or other amounts of Loan Parties or their Subsidiaries received since the then immediately preceding Settlement Date have been applied to a Swing Lender’s Pro Rata Share of the applicable Revolving Loans other than to its Swing Loans, as provided for in the previous sentence, such Swing Lender shall pay to Agent for the accounts of the Lenders, and Agent shall pay to the Lenders (other than a Defaulting Lender if Agent has implemented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to be applied to the outstanding applicable Revolving Loans of such Lenders, an amount such that each such Lender shall, upon receipt of such amount, have, as of such Settlement Date, its Pro Rata Share of the applicable Revolving Loans. During the period between Settlement Dates, a Swing Lender with respect to its Swing Loans, Agent with respect to Extraordinary Advances, and each Lender with respect to the Revolving Loans other than Swing Loans and Extraordinary Advances, shall be entitled to interest at the applicable rate or rates payable under this Agreement on the daily amount of funds employed by such Swing Lender, Agent, or the Lenders, as applicable.</w:t>
      </w:r>
    </w:p>
    <w:p>
      <w:pPr>
        <w:spacing w:after="0" w:line="89" w:lineRule="exact"/>
        <w:rPr>
          <w:sz w:val="20"/>
          <w:szCs w:val="20"/>
          <w:color w:val="auto"/>
        </w:rPr>
      </w:pPr>
    </w:p>
    <w:p>
      <w:pPr>
        <w:ind w:right="200" w:firstLine="1492"/>
        <w:spacing w:after="0" w:line="264" w:lineRule="auto"/>
        <w:tabs>
          <w:tab w:leader="none" w:pos="1788"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Arial" w:cs="Arial" w:eastAsia="Arial" w:hAnsi="Arial"/>
          <w:sz w:val="18"/>
          <w:szCs w:val="18"/>
          <w:u w:val="single" w:color="auto"/>
          <w:color w:val="auto"/>
        </w:rPr>
        <w:t>Section 2.3(g)</w:t>
      </w:r>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firstLine="921"/>
        <w:spacing w:after="0" w:line="261" w:lineRule="auto"/>
        <w:tabs>
          <w:tab w:leader="none" w:pos="1138"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Notation</w:t>
      </w:r>
      <w:r>
        <w:rPr>
          <w:rFonts w:ascii="Arial" w:cs="Arial" w:eastAsia="Arial" w:hAnsi="Arial"/>
          <w:sz w:val="18"/>
          <w:szCs w:val="18"/>
          <w:color w:val="auto"/>
        </w:rPr>
        <w:t>. Consistent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13.1(h)</w:t>
      </w:r>
      <w:r>
        <w:rPr>
          <w:rFonts w:ascii="Arial" w:cs="Arial" w:eastAsia="Arial" w:hAnsi="Arial"/>
          <w:sz w:val="18"/>
          <w:szCs w:val="18"/>
          <w:color w:val="auto"/>
        </w:rPr>
        <w:t>, Agent, as a non-fiduciary agent for Borrowers, shall maintain a register showing in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the principal amount and stated interest of the Revolving Loans owing to each Lender, including the Swing Loans owing to the applicable Swing Lender, and Extraordinary Advances owing to Agent, and the interests therein of each Lender, from time to time and such register shall, absent manifest error, conclusively be presumed to be correct and accurate.</w:t>
      </w:r>
    </w:p>
    <w:p>
      <w:pPr>
        <w:spacing w:after="0" w:line="71" w:lineRule="exact"/>
        <w:rPr>
          <w:rFonts w:ascii="Arial" w:cs="Arial" w:eastAsia="Arial" w:hAnsi="Arial"/>
          <w:sz w:val="18"/>
          <w:szCs w:val="18"/>
          <w:color w:val="auto"/>
        </w:rPr>
      </w:pPr>
    </w:p>
    <w:p>
      <w:pPr>
        <w:ind w:left="1180" w:hanging="259"/>
        <w:spacing w:after="0"/>
        <w:tabs>
          <w:tab w:leader="none" w:pos="1180"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Defaulting Lenders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80" w:firstLine="1492"/>
        <w:spacing w:after="0" w:line="288" w:lineRule="auto"/>
        <w:tabs>
          <w:tab w:leader="none" w:pos="1698"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2.4(b)(ii)</w:t>
      </w:r>
      <w:r>
        <w:rPr>
          <w:rFonts w:ascii="Arial" w:cs="Arial" w:eastAsia="Arial" w:hAnsi="Arial"/>
          <w:sz w:val="16"/>
          <w:szCs w:val="16"/>
          <w:color w:val="auto"/>
        </w:rPr>
        <w:t>, Agent shall not be obligated to transfer to a Defaulting Lender any payments made by or on behalf of any Borrower to Agent for the Defaulting Lender’s benefit or any proceeds of Collateral that would otherwise be remitted hereunder to the Defaulting Lender, and, in the absence of such transfer to the Defaulting Lender, Agent shall transfer any such proceeds of Collateral or payments</w:t>
      </w:r>
    </w:p>
    <w:p>
      <w:pPr>
        <w:ind w:right="80" w:firstLine="8"/>
        <w:spacing w:after="0" w:line="287" w:lineRule="auto"/>
        <w:tabs>
          <w:tab w:leader="none" w:pos="2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pertaining to or securing US Obligations, (i) first, to Agent, to the extent of any US Extraordinary Advances that were made by Agent and that were required to be, but were not, paid by the Defaulting Lender, (ii) second, to US Swing Lender to the extent of any US Swing Loans that were made by US Swing Lender and that were required to be, but were not, paid by the Defaulting Lender, (iii) third, to US Issuing Lender, to the extent of the portion of a US Letter of Credit Disbursement that was required to be, but was not, paid by the Defaulting Lender, (iv) fourth, to each Non-Defaulting Lender ratably in accordance with their US Revolver Commitments (but, in each case, only to the extent that such Defaulting Lender’s portion of a US Revolving Loan (or other funding obligation) was funded by such other Non-Defaulting Lender), (v) fifth, in Agent’s sole discretion, to a suspense account maintained by Agent, the proceeds of which shall be retained by Agent and may be made available to be re-advanced to or for the benefit of US Borrowers (upon the request of Borrowers and subject to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as if such Defaulting Lender had made its portion of US Revolving Loans (or other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funding obligations) hereunder, (vi) sixth, to the extent such Collateral also secures any Foreign Obligations, in accordance with </w:t>
      </w:r>
      <w:r>
        <w:rPr>
          <w:rFonts w:ascii="Arial" w:cs="Arial" w:eastAsia="Arial" w:hAnsi="Arial"/>
          <w:sz w:val="16"/>
          <w:szCs w:val="16"/>
          <w:u w:val="single" w:color="auto"/>
          <w:color w:val="auto"/>
        </w:rPr>
        <w:t>Section 2.3(g)(i)(B)</w:t>
      </w:r>
      <w:r>
        <w:rPr>
          <w:rFonts w:ascii="Arial" w:cs="Arial" w:eastAsia="Arial" w:hAnsi="Arial"/>
          <w:sz w:val="16"/>
          <w:szCs w:val="16"/>
          <w:color w:val="auto"/>
        </w:rPr>
        <w:t>, and</w:t>
      </w:r>
    </w:p>
    <w:p>
      <w:pPr>
        <w:spacing w:after="0" w:line="46" w:lineRule="exact"/>
        <w:rPr>
          <w:sz w:val="20"/>
          <w:szCs w:val="20"/>
          <w:color w:val="auto"/>
        </w:rPr>
      </w:pPr>
    </w:p>
    <w:p>
      <w:pPr>
        <w:ind w:right="40" w:firstLine="8"/>
        <w:spacing w:after="0" w:line="281" w:lineRule="auto"/>
        <w:tabs>
          <w:tab w:leader="none" w:pos="3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seventh, from and after the date on which all other US Obligations have been paid in full, to such Defaulting Lender in accordance with tier (A)(xiii) of </w:t>
      </w:r>
      <w:r>
        <w:rPr>
          <w:rFonts w:ascii="Arial" w:cs="Arial" w:eastAsia="Arial" w:hAnsi="Arial"/>
          <w:sz w:val="16"/>
          <w:szCs w:val="16"/>
          <w:u w:val="single" w:color="auto"/>
          <w:color w:val="auto"/>
        </w:rPr>
        <w:t>Section 2.4(b)(ii)</w:t>
      </w:r>
      <w:r>
        <w:rPr>
          <w:rFonts w:ascii="Arial" w:cs="Arial" w:eastAsia="Arial" w:hAnsi="Arial"/>
          <w:sz w:val="16"/>
          <w:szCs w:val="16"/>
          <w:color w:val="auto"/>
        </w:rPr>
        <w:t>, and (B) pertaining to or securing any Foreign Obligations, (i) first, to Agent to the extent of any Canadian Extraordinary Advances and UK Extraordinary Advances that were made by Agent and that were required to be, but were not, paid by Defaulting Lender, (ii) second, on a pro rata basis, to Canadian Swing Lender to the extent of any Canadian Swing Loans that were made by Canadian Swing Lender and that were required to be, but were not, paid by the Defaulting Lender and to UK Swing Lender to the extent of any UK Swing Loans that were made by UK Swing Lender and that were required to be, but were not, paid by the Defaulting Lender, (iii) third, on a pro rata basis, to Canadian Issuing Lender, to the extent of the portion of a Canadian Letter of Credit Disbursement that was required to be, but was not, paid by the Defaulting Lender and UK Issuing Lender, to the extent of the portion of a UK Letter of Credit Disbursement that was required to be, but was not, paid by the Defaulting Lender, (iv) fourth, on a pro rata basis to each Non-Defaulting Lender ratably in accordance with their Canadian Revolver Commitments and UK Revolver Commitments (but, in each case, only to the extent that such Defaulting Lender’s portion of a Canadian Revolving Loan, UK Revolving Loan (or other funding obligation) was funded by such other Non-Defaulting Lender),</w:t>
      </w:r>
    </w:p>
    <w:p>
      <w:pPr>
        <w:spacing w:after="0" w:line="6" w:lineRule="exact"/>
        <w:rPr>
          <w:rFonts w:ascii="Arial" w:cs="Arial" w:eastAsia="Arial" w:hAnsi="Arial"/>
          <w:sz w:val="16"/>
          <w:szCs w:val="16"/>
          <w:color w:val="auto"/>
        </w:rPr>
      </w:pPr>
    </w:p>
    <w:p>
      <w:pPr>
        <w:ind w:firstLine="8"/>
        <w:spacing w:after="0" w:line="266" w:lineRule="auto"/>
        <w:tabs>
          <w:tab w:leader="none" w:pos="255"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fifth, in Agent’s sole discretion, to a suspense account maintained by Agent, the proceeds of which may be retained by Agent and may be made available to be re-advanced to or for the benefit of Canadian Borrowers or UK Borrowers (upon the request of Borrowers and subject to the conditions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as if such Defaulting Lender had made its portion of Canadian Revolving Loans, UK Revolving Loans (or other funding obligations) hereunder, and (vi) sixth, from and after the date on which all other Foreign Obligations have been paid in full, to such Defaulting Lender in accordance with tier (B)(xii) of </w:t>
      </w:r>
      <w:r>
        <w:rPr>
          <w:rFonts w:ascii="Arial" w:cs="Arial" w:eastAsia="Arial" w:hAnsi="Arial"/>
          <w:sz w:val="17"/>
          <w:szCs w:val="17"/>
          <w:u w:val="single" w:color="auto"/>
          <w:color w:val="auto"/>
        </w:rPr>
        <w:t>Section 2.4(b)(ii)</w:t>
      </w:r>
      <w:r>
        <w:rPr>
          <w:rFonts w:ascii="Arial" w:cs="Arial" w:eastAsia="Arial" w:hAnsi="Arial"/>
          <w:sz w:val="17"/>
          <w:szCs w:val="17"/>
          <w:color w:val="auto"/>
        </w:rPr>
        <w:t xml:space="preserve">. Subject to the foregoing, Agent may hold and, in its discretion, re-lend to the applicable Borrower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fees payable under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such Defaulting Lender shall be deemed not to be a “Lender” and such Lender’s Commitment shall be deemed to be zero;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any of the matters governed by </w:t>
      </w:r>
      <w:r>
        <w:rPr>
          <w:rFonts w:ascii="Arial" w:cs="Arial" w:eastAsia="Arial" w:hAnsi="Arial"/>
          <w:sz w:val="17"/>
          <w:szCs w:val="17"/>
          <w:u w:val="single" w:color="auto"/>
          <w:color w:val="auto"/>
        </w:rPr>
        <w:t>Section 14.1(a)(i)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shall remain effective with respect to such Defaulting Lender until the earlier of (y) the date on which all of the Non-Defaulting Lenders, Agent, Issuing Lenders, and Borrowers shall have waived, in writing, the application of this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Arial" w:cs="Arial" w:eastAsia="Arial" w:hAnsi="Arial"/>
          <w:sz w:val="17"/>
          <w:szCs w:val="17"/>
          <w:u w:val="single" w:color="auto"/>
          <w:color w:val="auto"/>
        </w:rPr>
        <w:t>Section 2.3(g)(ii)</w:t>
      </w:r>
      <w:r>
        <w:rPr>
          <w:rFonts w:ascii="Arial" w:cs="Arial" w:eastAsia="Arial" w:hAnsi="Arial"/>
          <w:sz w:val="17"/>
          <w:szCs w:val="17"/>
          <w:color w:val="auto"/>
        </w:rPr>
        <w:t xml:space="preserve"> shall be released to the applicable Borrower). The operation of this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Lenders, or to the Lenders other than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106" w:name="page107"/>
    <w:bookmarkEnd w:id="106"/>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 substitute Lender to assume the Commitments of such Defaulting Lender and the Commitments of any Affiliate of such Defaulting Lender, such substitute Lender to be reasonably acceptable to Agent. In connection with the arrangement of such a substitute Lender, the Defaulting Lenders shall have no right to refuse to be replaced hereunder, and agree to execute and deliver a completed form of Assignment and Acceptance in favor of the substitute Lender (and agree that they shall be deemed to have executed and delivered such document if they fail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assumption of the Commitments of such Defaulting Lenders shall not be deemed to constitute a waiver of any of the Lender Groups’ or Borrowers’ rights or remedies against any such Defaulting Lender arising out of or in relation to such failure to fund. In the event of a direct conflict between the priority provisions of this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shall control and govern.</w:t>
      </w:r>
    </w:p>
    <w:p>
      <w:pPr>
        <w:spacing w:after="0" w:line="8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(ii) If any applicable Swing Loan or Letter of Credit is outstanding at the time that a Lender becomes a Defaulting Lender then:</w:t>
      </w:r>
    </w:p>
    <w:p>
      <w:pPr>
        <w:spacing w:after="0" w:line="129" w:lineRule="exact"/>
        <w:rPr>
          <w:sz w:val="20"/>
          <w:szCs w:val="20"/>
          <w:color w:val="auto"/>
        </w:rPr>
      </w:pPr>
    </w:p>
    <w:p>
      <w:pPr>
        <w:ind w:firstLine="1940"/>
        <w:spacing w:after="0" w:line="290" w:lineRule="auto"/>
        <w:rPr>
          <w:sz w:val="20"/>
          <w:szCs w:val="20"/>
          <w:color w:val="auto"/>
        </w:rPr>
      </w:pPr>
      <w:r>
        <w:rPr>
          <w:rFonts w:ascii="Arial" w:cs="Arial" w:eastAsia="Arial" w:hAnsi="Arial"/>
          <w:sz w:val="16"/>
          <w:szCs w:val="16"/>
          <w:color w:val="auto"/>
        </w:rPr>
        <w:t xml:space="preserve">(A) such Defaulting Lender’s Swing Loan Exposure and Letter of Credit Exposure shall be reallocated among the applicable Non-Defaulting Lenders in accordance with their respective Pro Rata Shares but only to the extent (w) the sum of all Non-Defaulting Lenders’ Pro Rata Share of US Revolver Usage plus such Defaulting Lender’s US Swing Loan Exposure and US Letter of Credit Exposure does not exceed the amount by which the total of all Non-Defaulting Lenders’ US Revolver Commitments exceed the US Revolver Usage, (x) the sum of the Dollar Equivalent of all Non-Defaulting Lenders’ Pro Rata Share of Canadian Revolver Usage plus such Defaulting Lender’s Canadian Swing Loan Exposure and Canadian Letter of Credit Exposure does not exceed the total of all Non-Defaulting Lenders’ Canadian Revolver Commitments, (y) the sum of the Dollar Equivalent of all Non-Defaulting Lenders’ Pro Rata Share of UK Revolver Usage plus such Defaulting Lender’s UK Swing Loan Exposure and UK Letter of Credit Exposure does not exceed the total of all Non-Defaulting Lenders’ UK Revolver Commitments and (z)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are satisfied at such time;</w:t>
      </w:r>
    </w:p>
    <w:p>
      <w:pPr>
        <w:spacing w:after="0" w:line="58" w:lineRule="exact"/>
        <w:rPr>
          <w:sz w:val="20"/>
          <w:szCs w:val="20"/>
          <w:color w:val="auto"/>
        </w:rPr>
      </w:pPr>
    </w:p>
    <w:p>
      <w:pPr>
        <w:ind w:right="60" w:firstLine="1948"/>
        <w:spacing w:after="0" w:line="293" w:lineRule="auto"/>
        <w:tabs>
          <w:tab w:leader="none" w:pos="222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if the reallocation described in clause (A) above cannot, or can only partially, be effected, the applicable Borrower shall within two Business Days following written notice by Agent (x) first, prepay such Defaulting Lender’s applicable Swing Loan Exposure (after giving effect to any partial reallocation pursuant to clause (A) above), and (y) second, cash collateralize such Defaulting Lender’s applicable Letter of Credit Exposure (after giving effect to any partial reallocation pursuant to clause (A) above), pursuant to a cash collateral agreement to be entered into in form and substance reasonably satisfactory to Agent and the applicable Borrower, for so long as such Letter of Credit Exposure is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Borrowers shall not be obligated to cash collateralize any Defaulting Lender’s Letter of Credit Exposure if such Defaulting Lender is also an Issuing Lender;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107" w:name="page108"/>
    <w:bookmarkEnd w:id="107"/>
    <w:p>
      <w:pPr>
        <w:jc w:val="both"/>
        <w:ind w:left="-20" w:right="160" w:firstLine="1948"/>
        <w:spacing w:after="0" w:line="259" w:lineRule="auto"/>
        <w:tabs>
          <w:tab w:leader="none" w:pos="2205" w:val="left"/>
        </w:tabs>
        <w:numPr>
          <w:ilvl w:val="1"/>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applicable Borrower cash collateralizes any portion of such Defaulting Lender’s Letter of Credit Exposure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such Borrower shall not be required to pay any Letter of Credit Fees to Agent for the account of such Defaulting Lender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with respect to such cash collateralized portion of such Defaulting Lender’s Letter of Credit Exposure during the period such Letter of Credit Exposure is cash collateralized;</w:t>
      </w:r>
    </w:p>
    <w:p>
      <w:pPr>
        <w:spacing w:after="0" w:line="78" w:lineRule="exact"/>
        <w:rPr>
          <w:rFonts w:ascii="Arial" w:cs="Arial" w:eastAsia="Arial" w:hAnsi="Arial"/>
          <w:sz w:val="18"/>
          <w:szCs w:val="18"/>
          <w:color w:val="auto"/>
        </w:rPr>
      </w:pPr>
    </w:p>
    <w:p>
      <w:pPr>
        <w:ind w:left="-20" w:firstLine="1948"/>
        <w:spacing w:after="0" w:line="264" w:lineRule="auto"/>
        <w:tabs>
          <w:tab w:leader="none" w:pos="2215"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to the extent the Letter of Credit Exposure of the Non-Defaulting Lenders is reallocated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then the Letter of Credit Fees payable to the Non-Defaulting Lenders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shall be adjusted in accordance with such Non-Defaulting Lenders’ Letter of Credit Exposure;</w:t>
      </w:r>
    </w:p>
    <w:p>
      <w:pPr>
        <w:spacing w:after="0" w:line="73" w:lineRule="exact"/>
        <w:rPr>
          <w:rFonts w:ascii="Arial" w:cs="Arial" w:eastAsia="Arial" w:hAnsi="Arial"/>
          <w:sz w:val="18"/>
          <w:szCs w:val="18"/>
          <w:color w:val="auto"/>
        </w:rPr>
      </w:pPr>
    </w:p>
    <w:p>
      <w:pPr>
        <w:ind w:left="-20" w:firstLine="1948"/>
        <w:spacing w:after="0" w:line="302" w:lineRule="auto"/>
        <w:tabs>
          <w:tab w:leader="none" w:pos="2195"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to the extent any Defaulting Lender’s Letter of Credit Exposure is neither cash collateralized nor reallocated pursuant to this </w:t>
      </w:r>
      <w:r>
        <w:rPr>
          <w:rFonts w:ascii="Arial" w:cs="Arial" w:eastAsia="Arial" w:hAnsi="Arial"/>
          <w:sz w:val="16"/>
          <w:szCs w:val="16"/>
          <w:u w:val="single" w:color="auto"/>
          <w:color w:val="auto"/>
        </w:rPr>
        <w:t>Section 2.3(g)(ii)</w:t>
      </w:r>
      <w:r>
        <w:rPr>
          <w:rFonts w:ascii="Arial" w:cs="Arial" w:eastAsia="Arial" w:hAnsi="Arial"/>
          <w:sz w:val="16"/>
          <w:szCs w:val="16"/>
          <w:color w:val="auto"/>
        </w:rPr>
        <w:t xml:space="preserve">, then, without prejudice to any rights or remedies of any Issuing Lender or any Lender hereunder, all Letter of Credit Fees that would have otherwise been payable to such Defaulting Lender under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with respect to such portion of such Letter of Credit Exposure shall instead be payable to the applicable Issuing Lender until such portion of such Defaulting Lender’s Letter of Credit Exposure is cash collateralized or reallocated;</w:t>
      </w:r>
    </w:p>
    <w:p>
      <w:pPr>
        <w:spacing w:after="0" w:line="46" w:lineRule="exact"/>
        <w:rPr>
          <w:rFonts w:ascii="Arial" w:cs="Arial" w:eastAsia="Arial" w:hAnsi="Arial"/>
          <w:sz w:val="16"/>
          <w:szCs w:val="16"/>
          <w:color w:val="auto"/>
        </w:rPr>
      </w:pPr>
    </w:p>
    <w:p>
      <w:pPr>
        <w:ind w:left="-20" w:right="100" w:firstLine="1948"/>
        <w:spacing w:after="0" w:line="255" w:lineRule="auto"/>
        <w:tabs>
          <w:tab w:leader="none" w:pos="2185"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so long as any Lender is a Defaulting Lender, no Swing Lender shall be required to make any Swing Loan and no Issuing Lender shall be required to issue, amend, or increase any Letter of Credit, in each case, to the extent (x) the Defaulting Lender’s Pro Rata Share of such Swing Loans or Letter of Credit cannot be reallocated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or (y) the applicable Swing Lender or Issuing Lender, as applicable, has not otherwise entered into arrangements reasonably satisfactory to the applicable Swing Lender or Issuing Lender, as applicable, and the applicable Borrowers to eliminate such Swing Lender’s or Issuing Lender’s risk with respect to the Defaulting Lender’s participation in such Swing Loans or Letters of Credit; and</w:t>
      </w:r>
    </w:p>
    <w:p>
      <w:pPr>
        <w:spacing w:after="0" w:line="85" w:lineRule="exact"/>
        <w:rPr>
          <w:rFonts w:ascii="Arial" w:cs="Arial" w:eastAsia="Arial" w:hAnsi="Arial"/>
          <w:sz w:val="18"/>
          <w:szCs w:val="18"/>
          <w:color w:val="auto"/>
        </w:rPr>
      </w:pPr>
    </w:p>
    <w:p>
      <w:pPr>
        <w:ind w:left="-20" w:right="20" w:firstLine="1948"/>
        <w:spacing w:after="0" w:line="255" w:lineRule="auto"/>
        <w:tabs>
          <w:tab w:leader="none" w:pos="2215"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Agent may release any cash collateral provided by Borrowers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to the applicable Issuing Lender and such Issuing Lender may apply any such cash collateral to the payment of such Defaulting Lender’s Pro Rata Share of any Letter of Credit Disbursement that is not reimbursed by the applicable Borrowers pursuant to </w:t>
      </w:r>
      <w:r>
        <w:rPr>
          <w:rFonts w:ascii="Arial" w:cs="Arial" w:eastAsia="Arial" w:hAnsi="Arial"/>
          <w:sz w:val="18"/>
          <w:szCs w:val="18"/>
          <w:u w:val="single" w:color="auto"/>
          <w:color w:val="auto"/>
        </w:rPr>
        <w:t>Sections 2.11A(d)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2.11B(d)</w:t>
      </w:r>
      <w:r>
        <w:rPr>
          <w:rFonts w:ascii="Arial" w:cs="Arial" w:eastAsia="Arial" w:hAnsi="Arial"/>
          <w:sz w:val="18"/>
          <w:szCs w:val="18"/>
          <w:color w:val="auto"/>
        </w:rPr>
        <w:t xml:space="preserve">, as applicable. Subject to </w:t>
      </w:r>
      <w:r>
        <w:rPr>
          <w:rFonts w:ascii="Arial" w:cs="Arial" w:eastAsia="Arial" w:hAnsi="Arial"/>
          <w:sz w:val="18"/>
          <w:szCs w:val="18"/>
          <w:u w:val="single" w:color="auto"/>
          <w:color w:val="auto"/>
        </w:rPr>
        <w:t>Section 17.14</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5" w:lineRule="exact"/>
        <w:rPr>
          <w:rFonts w:ascii="Arial" w:cs="Arial" w:eastAsia="Arial" w:hAnsi="Arial"/>
          <w:sz w:val="18"/>
          <w:szCs w:val="18"/>
          <w:color w:val="auto"/>
        </w:rPr>
      </w:pPr>
    </w:p>
    <w:p>
      <w:pPr>
        <w:ind w:left="-20" w:right="60" w:firstLine="1492"/>
        <w:spacing w:after="0" w:line="264" w:lineRule="auto"/>
        <w:tabs>
          <w:tab w:leader="none" w:pos="17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Lender with a US Revolver Commitment, UK Revolver Commitment or Canadian Revolver Commitment is a Defaulting Lender, then any Affiliate of such Lender with a US Revolver Commitment, UK Revolver Commitment or Canadian Revolver Commitment shall be deemed to be a Defaulting Lender.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60" w:top="274" w:right="259" w:bottom="1440" w:gutter="0" w:footer="0" w:header="0"/>
        </w:sectPr>
      </w:pPr>
    </w:p>
    <w:bookmarkStart w:id="108" w:name="page109"/>
    <w:bookmarkEnd w:id="108"/>
    <w:p>
      <w:pPr>
        <w:ind w:left="-140" w:right="40" w:firstLine="921"/>
        <w:spacing w:after="0" w:line="258" w:lineRule="auto"/>
        <w:tabs>
          <w:tab w:leader="none" w:pos="1028"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Obligations</w:t>
      </w:r>
      <w:r>
        <w:rPr>
          <w:rFonts w:ascii="Arial" w:cs="Arial" w:eastAsia="Arial" w:hAnsi="Arial"/>
          <w:sz w:val="18"/>
          <w:szCs w:val="18"/>
          <w:color w:val="auto"/>
        </w:rPr>
        <w:t>. All Revolving Loans (other than Swing Loans and Extraordinary Advances) shall be made by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contemporaneously and in accordance with their Pro Rata Shares. It is understood that (i) no Lender shall be responsible for any failure by any other Lender to perform its obligation to make any Revolving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Payments; Reductions of Commitments; Prepayments</w:t>
      </w:r>
      <w:r>
        <w:rPr>
          <w:rFonts w:ascii="Arial" w:cs="Arial" w:eastAsia="Arial" w:hAnsi="Arial"/>
          <w:sz w:val="18"/>
          <w:szCs w:val="18"/>
          <w:color w:val="auto"/>
        </w:rPr>
        <w:t>.</w:t>
      </w:r>
    </w:p>
    <w:p>
      <w:pPr>
        <w:spacing w:after="0" w:line="117" w:lineRule="exact"/>
        <w:rPr>
          <w:sz w:val="20"/>
          <w:szCs w:val="20"/>
          <w:color w:val="auto"/>
        </w:rPr>
      </w:pPr>
    </w:p>
    <w:p>
      <w:pPr>
        <w:ind w:left="1020" w:hanging="239"/>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Payments by Borrowers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140" w:right="80" w:firstLine="1492"/>
        <w:spacing w:after="0" w:line="302" w:lineRule="auto"/>
        <w:tabs>
          <w:tab w:leader="none" w:pos="1558" w:val="left"/>
        </w:tabs>
        <w:numPr>
          <w:ilvl w:val="1"/>
          <w:numId w:val="92"/>
        </w:numPr>
        <w:rPr>
          <w:rFonts w:ascii="Arial" w:cs="Arial" w:eastAsia="Arial" w:hAnsi="Arial"/>
          <w:sz w:val="16"/>
          <w:szCs w:val="16"/>
          <w:color w:val="auto"/>
        </w:rPr>
      </w:pPr>
      <w:r>
        <w:rPr>
          <w:rFonts w:ascii="Arial" w:cs="Arial" w:eastAsia="Arial" w:hAnsi="Arial"/>
          <w:sz w:val="16"/>
          <w:szCs w:val="16"/>
          <w:color w:val="auto"/>
        </w:rPr>
        <w:t>Except as otherwise expressly provided herein, all payments by Borrowers shall be made to Agent’s Applicable Account for the account of the Lender Group and shall be made in immediately available funds in the Applicable Currency, no later than 4:30 p.m. on the date specified herein. Any payment received by Agent later than 4:30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46" w:lineRule="exact"/>
        <w:rPr>
          <w:rFonts w:ascii="Arial" w:cs="Arial" w:eastAsia="Arial" w:hAnsi="Arial"/>
          <w:sz w:val="16"/>
          <w:szCs w:val="16"/>
          <w:color w:val="auto"/>
        </w:rPr>
      </w:pPr>
    </w:p>
    <w:p>
      <w:pPr>
        <w:ind w:left="-140" w:firstLine="1492"/>
        <w:spacing w:after="0" w:line="273" w:lineRule="auto"/>
        <w:tabs>
          <w:tab w:leader="none" w:pos="1608" w:val="left"/>
        </w:tabs>
        <w:numPr>
          <w:ilvl w:val="1"/>
          <w:numId w:val="92"/>
        </w:numPr>
        <w:rPr>
          <w:rFonts w:ascii="Arial" w:cs="Arial" w:eastAsia="Arial" w:hAnsi="Arial"/>
          <w:sz w:val="17"/>
          <w:szCs w:val="17"/>
          <w:color w:val="auto"/>
        </w:rPr>
      </w:pPr>
      <w:r>
        <w:rPr>
          <w:rFonts w:ascii="Arial" w:cs="Arial" w:eastAsia="Arial" w:hAnsi="Arial"/>
          <w:sz w:val="17"/>
          <w:szCs w:val="17"/>
          <w:color w:val="auto"/>
        </w:rPr>
        <w:t>Unless Agent receives notice from Borrowers prior to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66" w:lineRule="exact"/>
        <w:rPr>
          <w:rFonts w:ascii="Arial" w:cs="Arial" w:eastAsia="Arial" w:hAnsi="Arial"/>
          <w:sz w:val="17"/>
          <w:szCs w:val="17"/>
          <w:color w:val="auto"/>
        </w:rPr>
      </w:pPr>
    </w:p>
    <w:p>
      <w:pPr>
        <w:ind w:left="1040" w:hanging="259"/>
        <w:spacing w:after="0"/>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Apportionment and Application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40" w:right="40" w:firstLine="1492"/>
        <w:spacing w:after="0" w:line="255" w:lineRule="auto"/>
        <w:tabs>
          <w:tab w:leader="none" w:pos="1558"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an Issuing Lender) shall be apportioned ratably among the Lenders having a Pro Rata Share of the type of Commitment or Obligation to which a particular fee or expense relates. Subject to </w:t>
      </w:r>
      <w:r>
        <w:rPr>
          <w:rFonts w:ascii="Arial" w:cs="Arial" w:eastAsia="Arial" w:hAnsi="Arial"/>
          <w:sz w:val="18"/>
          <w:szCs w:val="18"/>
          <w:u w:val="single" w:color="auto"/>
          <w:color w:val="auto"/>
        </w:rPr>
        <w:t>Section 2.4(b)(iv)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2.4(e)</w:t>
      </w:r>
      <w:r>
        <w:rPr>
          <w:rFonts w:ascii="Arial" w:cs="Arial" w:eastAsia="Arial" w:hAnsi="Arial"/>
          <w:sz w:val="18"/>
          <w:szCs w:val="18"/>
          <w:color w:val="auto"/>
        </w:rPr>
        <w:t>, all payments to be made hereunder by US Borrowers shall be remitted to Agent and all such payments, and all proceeds of Collateral securing US Obligations received by Agent, shall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60"/>
          </w:cols>
          <w:pgMar w:left="380" w:top="270" w:right="359" w:bottom="1440" w:gutter="0" w:footer="0" w:header="0"/>
        </w:sectPr>
      </w:pPr>
    </w:p>
    <w:bookmarkStart w:id="109" w:name="page110"/>
    <w:bookmarkEnd w:id="109"/>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applied, so long as no Application Event has occurred and is continuing and except as otherwise provided herein with respect to Defaulting Lenders, to reduce the balance of the US Revolving Loans outstanding and, thereafter, to US Borrowers (to be wired to the US Designated Account) or such other Person entitled thereto under applicable law. Subject to </w:t>
      </w:r>
      <w:r>
        <w:rPr>
          <w:rFonts w:ascii="Arial" w:cs="Arial" w:eastAsia="Arial" w:hAnsi="Arial"/>
          <w:sz w:val="16"/>
          <w:szCs w:val="16"/>
          <w:u w:val="single" w:color="auto"/>
          <w:color w:val="auto"/>
        </w:rPr>
        <w:t>Section 2.4(b)(iv)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2.4(e)</w:t>
      </w:r>
      <w:r>
        <w:rPr>
          <w:rFonts w:ascii="Arial" w:cs="Arial" w:eastAsia="Arial" w:hAnsi="Arial"/>
          <w:sz w:val="16"/>
          <w:szCs w:val="16"/>
          <w:color w:val="auto"/>
        </w:rPr>
        <w:t>, all payments in respect of Canadian Obligations to be made hereunder by Canadian Borrowers shall be remitted to Agent and all such payments, and all proceeds of Collateral securing Canadian Obligations (other than</w:t>
      </w:r>
    </w:p>
    <w:p>
      <w:pPr>
        <w:spacing w:after="0" w:line="2" w:lineRule="exact"/>
        <w:rPr>
          <w:sz w:val="20"/>
          <w:szCs w:val="20"/>
          <w:color w:val="auto"/>
        </w:rPr>
      </w:pPr>
    </w:p>
    <w:p>
      <w:pPr>
        <w:ind w:right="20" w:firstLine="8"/>
        <w:spacing w:after="0" w:line="268"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Collateral also securing US Obligations, which shall be applied first to the US Obligations and (y) Collateral also securing UK Obligations, which shall be applied pro rata to UK Obligations and Canadian Obligations) received by Agent, shall be applied, so long as no Application Event has occurred and is continuing and except as otherwise provided herein with respect to Defaulting Lenders, to reduce the balance of the Canadian Revolving Loans outstanding and, thereafter, to a Canadian Borrower (to be wired to the Canadian Designated Account) or such other Person entitled thereto under applicable law. Subject to </w:t>
      </w:r>
      <w:r>
        <w:rPr>
          <w:rFonts w:ascii="Arial" w:cs="Arial" w:eastAsia="Arial" w:hAnsi="Arial"/>
          <w:sz w:val="17"/>
          <w:szCs w:val="17"/>
          <w:u w:val="single" w:color="auto"/>
          <w:color w:val="auto"/>
        </w:rPr>
        <w:t>Section 2.4(b)(iv)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2.4(e)</w:t>
      </w:r>
      <w:r>
        <w:rPr>
          <w:rFonts w:ascii="Arial" w:cs="Arial" w:eastAsia="Arial" w:hAnsi="Arial"/>
          <w:sz w:val="17"/>
          <w:szCs w:val="17"/>
          <w:color w:val="auto"/>
        </w:rPr>
        <w:t>, all payments in respect of UK Obligations to be made hereunder by UK Borrowers shall be remitted to Agent and all such payments, and all proceeds of Collateral securing UK Obligations (other than (x) Collateral also securing US Obligations, which shall be applied first to the US Obligations and (y) Collateral also securing Canadian Obligations, which shall be applied pro rata to UK Obligations and Canadian Obligations) received by Agent, shall be applied, so long as no Application Event has occurred and is continuing and except as otherwise provided herein with respect to Defaulting Lenders, to reduce the balance of the UK Revolving Loans outstanding and, thereafter, to UK Borrower (to be wired to the UK Designated Account) or such other Person entitled thereto under applicable law.</w:t>
      </w:r>
    </w:p>
    <w:p>
      <w:pPr>
        <w:spacing w:after="0" w:line="71" w:lineRule="exact"/>
        <w:rPr>
          <w:rFonts w:ascii="Arial" w:cs="Arial" w:eastAsia="Arial" w:hAnsi="Arial"/>
          <w:sz w:val="17"/>
          <w:szCs w:val="17"/>
          <w:color w:val="auto"/>
        </w:rPr>
      </w:pPr>
    </w:p>
    <w:p>
      <w:pPr>
        <w:ind w:right="640" w:firstLine="1492"/>
        <w:spacing w:after="0" w:line="308" w:lineRule="auto"/>
        <w:tabs>
          <w:tab w:leader="none" w:pos="1748" w:val="left"/>
        </w:tabs>
        <w:numPr>
          <w:ilvl w:val="1"/>
          <w:numId w:val="93"/>
        </w:numPr>
        <w:rPr>
          <w:rFonts w:ascii="Arial" w:cs="Arial" w:eastAsia="Arial" w:hAnsi="Arial"/>
          <w:sz w:val="17"/>
          <w:szCs w:val="17"/>
          <w:color w:val="auto"/>
        </w:rPr>
      </w:pPr>
      <w:r>
        <w:rPr>
          <w:rFonts w:ascii="Arial" w:cs="Arial" w:eastAsia="Arial" w:hAnsi="Arial"/>
          <w:sz w:val="17"/>
          <w:szCs w:val="17"/>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38" w:lineRule="exact"/>
        <w:rPr>
          <w:rFonts w:ascii="Arial" w:cs="Arial" w:eastAsia="Arial" w:hAnsi="Arial"/>
          <w:sz w:val="17"/>
          <w:szCs w:val="17"/>
          <w:color w:val="auto"/>
        </w:rPr>
      </w:pPr>
    </w:p>
    <w:p>
      <w:pPr>
        <w:ind w:left="2240" w:hanging="292"/>
        <w:spacing w:after="0"/>
        <w:tabs>
          <w:tab w:leader="none" w:pos="224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All payments in respect of US Obligations and all proceeds of Collateral securing the US Obligations received by Agent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applied as follows:</w:t>
      </w:r>
    </w:p>
    <w:p>
      <w:pPr>
        <w:spacing w:after="0" w:line="102" w:lineRule="exact"/>
        <w:rPr>
          <w:rFonts w:ascii="Arial" w:cs="Arial" w:eastAsia="Arial" w:hAnsi="Arial"/>
          <w:sz w:val="16"/>
          <w:szCs w:val="16"/>
          <w:color w:val="auto"/>
        </w:rPr>
      </w:pPr>
    </w:p>
    <w:p>
      <w:pPr>
        <w:ind w:right="360" w:firstLine="2404"/>
        <w:spacing w:after="0" w:line="277" w:lineRule="auto"/>
        <w:tabs>
          <w:tab w:leader="none" w:pos="2536" w:val="left"/>
        </w:tabs>
        <w:numPr>
          <w:ilvl w:val="3"/>
          <w:numId w:val="93"/>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any Lender Group Expenses (including cost or expense reimbursements) or indemnities then due to Agent under the Loan Documents in respect of US Obligations, until paid in full,</w:t>
      </w:r>
    </w:p>
    <w:p>
      <w:pPr>
        <w:spacing w:after="0" w:line="62" w:lineRule="exact"/>
        <w:rPr>
          <w:rFonts w:ascii="Arial" w:cs="Arial" w:eastAsia="Arial" w:hAnsi="Arial"/>
          <w:sz w:val="18"/>
          <w:szCs w:val="18"/>
          <w:color w:val="auto"/>
        </w:rPr>
      </w:pPr>
    </w:p>
    <w:p>
      <w:pPr>
        <w:ind w:left="2600" w:hanging="196"/>
        <w:spacing w:after="0"/>
        <w:tabs>
          <w:tab w:leader="none" w:pos="2600" w:val="left"/>
        </w:tabs>
        <w:numPr>
          <w:ilvl w:val="3"/>
          <w:numId w:val="93"/>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pay any fees or premiums then due to Agent under the Loan Documents in respect of US Obligations, until paid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full,</w:t>
      </w:r>
    </w:p>
    <w:p>
      <w:pPr>
        <w:spacing w:after="0" w:line="102" w:lineRule="exact"/>
        <w:rPr>
          <w:rFonts w:ascii="Arial" w:cs="Arial" w:eastAsia="Arial" w:hAnsi="Arial"/>
          <w:sz w:val="16"/>
          <w:szCs w:val="16"/>
          <w:color w:val="auto"/>
        </w:rPr>
      </w:pPr>
    </w:p>
    <w:p>
      <w:pPr>
        <w:ind w:left="2640" w:hanging="236"/>
        <w:spacing w:after="0"/>
        <w:tabs>
          <w:tab w:leader="none" w:pos="2640" w:val="left"/>
        </w:tabs>
        <w:numPr>
          <w:ilvl w:val="3"/>
          <w:numId w:val="93"/>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US Protective Advances, until paid in full,</w:t>
      </w:r>
    </w:p>
    <w:p>
      <w:pPr>
        <w:spacing w:after="0" w:line="117" w:lineRule="exact"/>
        <w:rPr>
          <w:rFonts w:ascii="Arial" w:cs="Arial" w:eastAsia="Arial" w:hAnsi="Arial"/>
          <w:sz w:val="18"/>
          <w:szCs w:val="18"/>
          <w:color w:val="auto"/>
        </w:rPr>
      </w:pPr>
    </w:p>
    <w:p>
      <w:pPr>
        <w:ind w:left="2620" w:hanging="216"/>
        <w:spacing w:after="0"/>
        <w:tabs>
          <w:tab w:leader="none" w:pos="2620" w:val="left"/>
        </w:tabs>
        <w:numPr>
          <w:ilvl w:val="3"/>
          <w:numId w:val="93"/>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US Protective Advances, until paid in full,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10" w:name="page111"/>
    <w:bookmarkEnd w:id="110"/>
    <w:p>
      <w:pPr>
        <w:ind w:right="200" w:firstLine="239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 </w:t>
      </w:r>
      <w:r>
        <w:rPr>
          <w:rFonts w:ascii="Arial" w:cs="Arial" w:eastAsia="Arial" w:hAnsi="Arial"/>
          <w:sz w:val="18"/>
          <w:szCs w:val="18"/>
          <w:u w:val="single" w:color="auto"/>
          <w:color w:val="auto"/>
        </w:rPr>
        <w:t>fifth</w:t>
      </w:r>
      <w:r>
        <w:rPr>
          <w:rFonts w:ascii="Arial" w:cs="Arial" w:eastAsia="Arial" w:hAnsi="Arial"/>
          <w:sz w:val="18"/>
          <w:szCs w:val="18"/>
          <w:color w:val="auto"/>
        </w:rPr>
        <w:t>, ratably, to pay any Lender Group Expenses (including cost or expense reimbursements) or indemnities then due to any of the Lenders under the Loan Documents in respect of US Obligations, until paid in full,</w:t>
      </w:r>
    </w:p>
    <w:p>
      <w:pPr>
        <w:spacing w:after="0" w:line="62"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 xml:space="preserve">vi. </w:t>
      </w:r>
      <w:r>
        <w:rPr>
          <w:rFonts w:ascii="Arial" w:cs="Arial" w:eastAsia="Arial" w:hAnsi="Arial"/>
          <w:sz w:val="16"/>
          <w:szCs w:val="16"/>
          <w:u w:val="single" w:color="auto"/>
          <w:color w:val="auto"/>
        </w:rPr>
        <w:t>sixth</w:t>
      </w:r>
      <w:r>
        <w:rPr>
          <w:rFonts w:ascii="Arial" w:cs="Arial" w:eastAsia="Arial" w:hAnsi="Arial"/>
          <w:sz w:val="16"/>
          <w:szCs w:val="16"/>
          <w:color w:val="auto"/>
        </w:rPr>
        <w:t>, ratably, to pay any fees or premiums then due to any of the Lenders under the Loan Documents in respect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Obligations, until paid in full,</w:t>
      </w:r>
    </w:p>
    <w:p>
      <w:pPr>
        <w:spacing w:after="0" w:line="103" w:lineRule="exact"/>
        <w:rPr>
          <w:sz w:val="20"/>
          <w:szCs w:val="20"/>
          <w:color w:val="auto"/>
        </w:rPr>
      </w:pPr>
    </w:p>
    <w:p>
      <w:pPr>
        <w:ind w:left="2680" w:hanging="276"/>
        <w:spacing w:after="0"/>
        <w:tabs>
          <w:tab w:leader="none" w:pos="26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US Swing Loans, until paid in full,</w:t>
      </w:r>
    </w:p>
    <w:p>
      <w:pPr>
        <w:spacing w:after="0" w:line="117" w:lineRule="exact"/>
        <w:rPr>
          <w:rFonts w:ascii="Arial" w:cs="Arial" w:eastAsia="Arial" w:hAnsi="Arial"/>
          <w:sz w:val="18"/>
          <w:szCs w:val="18"/>
          <w:color w:val="auto"/>
        </w:rPr>
      </w:pPr>
    </w:p>
    <w:p>
      <w:pPr>
        <w:ind w:left="2740" w:hanging="336"/>
        <w:spacing w:after="0"/>
        <w:tabs>
          <w:tab w:leader="none" w:pos="27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the principal of all US Swing Loans, until paid in full,</w:t>
      </w:r>
    </w:p>
    <w:p>
      <w:pPr>
        <w:spacing w:after="0" w:line="117" w:lineRule="exact"/>
        <w:rPr>
          <w:rFonts w:ascii="Arial" w:cs="Arial" w:eastAsia="Arial" w:hAnsi="Arial"/>
          <w:sz w:val="18"/>
          <w:szCs w:val="18"/>
          <w:color w:val="auto"/>
        </w:rPr>
      </w:pPr>
    </w:p>
    <w:p>
      <w:pPr>
        <w:ind w:left="2640" w:hanging="236"/>
        <w:spacing w:after="0"/>
        <w:tabs>
          <w:tab w:leader="none" w:pos="264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ratably, to pay interest accrued in respect of the US Revolving Loans (other than US Protective Advances), until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paid in full,</w:t>
      </w:r>
    </w:p>
    <w:p>
      <w:pPr>
        <w:spacing w:after="0" w:line="10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 ratably, to pay the principal of all US Revolving Loans, until paid in full,</w:t>
      </w:r>
    </w:p>
    <w:p>
      <w:pPr>
        <w:spacing w:after="0" w:line="117" w:lineRule="exact"/>
        <w:rPr>
          <w:sz w:val="20"/>
          <w:szCs w:val="20"/>
          <w:color w:val="auto"/>
        </w:rPr>
      </w:pPr>
    </w:p>
    <w:p>
      <w:pPr>
        <w:ind w:firstLine="2967"/>
        <w:spacing w:after="0" w:line="255" w:lineRule="auto"/>
        <w:rPr>
          <w:sz w:val="20"/>
          <w:szCs w:val="20"/>
          <w:color w:val="auto"/>
        </w:rPr>
      </w:pPr>
      <w:r>
        <w:rPr>
          <w:rFonts w:ascii="Arial" w:cs="Arial" w:eastAsia="Arial" w:hAnsi="Arial"/>
          <w:sz w:val="18"/>
          <w:szCs w:val="18"/>
          <w:color w:val="auto"/>
        </w:rPr>
        <w:t xml:space="preserve">b. to Agent, to be held by Agent, for the benefit of US Issuing Lender (and for the ratable benefit of each of the Lenders that have an obligation to pay to Agent, for the account of US Issuing Lender, a share of each US Letter of Credit Disbursement), as cash collateral in an amount up to 105% of the US Letter of Credit Usage (to the extent permitted by applicable law, such cash collateral shall be applied to the reimbursement of any US Letter of Credit Disbursement as and when such disbursement occurs and, if a Letter of Credit expires undrawn, the cash collateral held by Agent in respect of such US Letter of Credit shall, to the extent permitted by applicable law, be reapplied pursuant to this </w:t>
      </w:r>
      <w:r>
        <w:rPr>
          <w:rFonts w:ascii="Arial" w:cs="Arial" w:eastAsia="Arial" w:hAnsi="Arial"/>
          <w:sz w:val="18"/>
          <w:szCs w:val="18"/>
          <w:u w:val="single" w:color="auto"/>
          <w:color w:val="auto"/>
        </w:rPr>
        <w:t>Section 2.4(b)(ii)</w:t>
      </w:r>
      <w:r>
        <w:rPr>
          <w:rFonts w:ascii="Arial" w:cs="Arial" w:eastAsia="Arial" w:hAnsi="Arial"/>
          <w:sz w:val="18"/>
          <w:szCs w:val="18"/>
          <w:color w:val="auto"/>
        </w:rPr>
        <w:t>, beginning with tier (A) (i) hereof),</w:t>
      </w:r>
    </w:p>
    <w:p>
      <w:pPr>
        <w:spacing w:after="0" w:line="85" w:lineRule="exact"/>
        <w:rPr>
          <w:sz w:val="20"/>
          <w:szCs w:val="20"/>
          <w:color w:val="auto"/>
        </w:rPr>
      </w:pPr>
    </w:p>
    <w:p>
      <w:pPr>
        <w:ind w:firstLine="2967"/>
        <w:spacing w:after="0" w:line="284" w:lineRule="auto"/>
        <w:rPr>
          <w:sz w:val="20"/>
          <w:szCs w:val="20"/>
          <w:color w:val="auto"/>
        </w:rPr>
      </w:pPr>
      <w:r>
        <w:rPr>
          <w:rFonts w:ascii="Arial" w:cs="Arial" w:eastAsia="Arial" w:hAnsi="Arial"/>
          <w:sz w:val="16"/>
          <w:szCs w:val="16"/>
          <w:color w:val="auto"/>
        </w:rPr>
        <w:t>c. ratably, up to the amount (after taking into account any amounts previously paid pursuant to this clause c. during the continuation of the applicable Application Event) of the most recently established US Bank Product Reserve, which amount was established prior to the occurrence of, and not in contemplation of, the subject Application Event, to (I) ratably to the Bank Product Providers of US Bank Products (based on the US Bank Product Reserve established for each US Bank Product of such Bank Product Provider) up to the amounts then certified by each applicable Bank Product Provider to Agent (in form and substance satisfactory to Agent) to be due and payable to such Bank Product Provider on account of US Bank Product Obligations (but not in excess of the US Bank Product Reserve established for the US Bank Product Obligations of such Bank Product Provider), and</w:t>
      </w:r>
    </w:p>
    <w:p>
      <w:pPr>
        <w:spacing w:after="0" w:line="5" w:lineRule="exact"/>
        <w:rPr>
          <w:sz w:val="20"/>
          <w:szCs w:val="20"/>
          <w:color w:val="auto"/>
        </w:rPr>
      </w:pPr>
    </w:p>
    <w:p>
      <w:pPr>
        <w:ind w:right="200" w:firstLine="8"/>
        <w:spacing w:after="0" w:line="270" w:lineRule="auto"/>
        <w:tabs>
          <w:tab w:leader="none" w:pos="285"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with any balance to be paid to Agent, to be held by Agent, for the ratable benefit (based on the US Bank Product Reserve established for each US Bank Product) of the Bank Product Providers for US Bank Products, as cash collateral (which cash collateral may be released by Agent to the applicable Bank Product Provider and applied by such Bank Product Provider to the payment or reimbursement of any amounts due and payable with respect to US Bank Product Obligations owed to the applicable Bank Product Provider as and when such amounts first become due and payable and, if and at such time as all such US Bank Product Obligations are paid or otherwise satisfied in full, the cash collateral held by Agent in respect of such US Bank Product Obligations shall be reapplied pursuant to this </w:t>
      </w:r>
      <w:r>
        <w:rPr>
          <w:rFonts w:ascii="Arial" w:cs="Arial" w:eastAsia="Arial" w:hAnsi="Arial"/>
          <w:sz w:val="17"/>
          <w:szCs w:val="17"/>
          <w:u w:val="single" w:color="auto"/>
          <w:color w:val="auto"/>
        </w:rPr>
        <w:t>Section 2.4(b)(ii)</w:t>
      </w:r>
      <w:r>
        <w:rPr>
          <w:rFonts w:ascii="Arial" w:cs="Arial" w:eastAsia="Arial" w:hAnsi="Arial"/>
          <w:sz w:val="17"/>
          <w:szCs w:val="17"/>
          <w:color w:val="auto"/>
        </w:rPr>
        <w:t>, beginning with tier (A)(i) 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74" w:right="259" w:bottom="1440" w:gutter="0" w:footer="0" w:header="0"/>
        </w:sectPr>
      </w:pPr>
    </w:p>
    <w:bookmarkStart w:id="111" w:name="page112"/>
    <w:bookmarkEnd w:id="111"/>
    <w:p>
      <w:pPr>
        <w:ind w:right="120" w:firstLine="2404"/>
        <w:spacing w:after="0" w:line="279" w:lineRule="auto"/>
        <w:tabs>
          <w:tab w:leader="none" w:pos="262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eleventh</w:t>
      </w:r>
      <w:r>
        <w:rPr>
          <w:rFonts w:ascii="Arial" w:cs="Arial" w:eastAsia="Arial" w:hAnsi="Arial"/>
          <w:sz w:val="17"/>
          <w:szCs w:val="17"/>
          <w:color w:val="auto"/>
        </w:rPr>
        <w:t>, to pay any US Obligations arising as a result of any guaranty by a US Loan Party of the Foreign Obligations (and as between the UK Obligations and the Canadian Obligations, on a pro rata basis) (and if no amounts are due under any such guaranty, to cash collateralize the obligations under such guaranty unless the Canadian Revolver Commitments and UK Revolver Commitments of Lenders to make Canadian Revolving Loans and UK Revolving Loans have terminated and the Foreign Obligations have been paid in full),</w:t>
      </w:r>
    </w:p>
    <w:p>
      <w:pPr>
        <w:spacing w:after="0" w:line="63" w:lineRule="exact"/>
        <w:rPr>
          <w:rFonts w:ascii="Arial" w:cs="Arial" w:eastAsia="Arial" w:hAnsi="Arial"/>
          <w:sz w:val="17"/>
          <w:szCs w:val="17"/>
          <w:color w:val="auto"/>
        </w:rPr>
      </w:pPr>
    </w:p>
    <w:p>
      <w:pPr>
        <w:ind w:firstLine="2404"/>
        <w:spacing w:after="0" w:line="272" w:lineRule="auto"/>
        <w:tabs>
          <w:tab w:leader="none" w:pos="267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twelfth</w:t>
      </w:r>
      <w:r>
        <w:rPr>
          <w:rFonts w:ascii="Arial" w:cs="Arial" w:eastAsia="Arial" w:hAnsi="Arial"/>
          <w:sz w:val="17"/>
          <w:szCs w:val="17"/>
          <w:color w:val="auto"/>
        </w:rPr>
        <w:t xml:space="preserve">, to pay any other US Obligations other than US Obligations owed to Defaulting Lenders (including being paid, ratably, to the Bank Product Providers on account of all amounts then due and payable in respect of US Bank Product Obligations,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US Bank Product Obligations owed to the applicable Bank Product Provider as and when such amounts first become due and payable and, if and at such time as all such US Bank Product Obligations are paid or otherwise satisfied in full, the cash collateral held by Agent in respect of such US Bank Product Obligations shall be reapplied pursuant to this </w:t>
      </w:r>
      <w:r>
        <w:rPr>
          <w:rFonts w:ascii="Arial" w:cs="Arial" w:eastAsia="Arial" w:hAnsi="Arial"/>
          <w:sz w:val="17"/>
          <w:szCs w:val="17"/>
          <w:u w:val="single" w:color="auto"/>
          <w:color w:val="auto"/>
        </w:rPr>
        <w:t>Section 2.4(b)(ii)</w:t>
      </w:r>
      <w:r>
        <w:rPr>
          <w:rFonts w:ascii="Arial" w:cs="Arial" w:eastAsia="Arial" w:hAnsi="Arial"/>
          <w:sz w:val="17"/>
          <w:szCs w:val="17"/>
          <w:color w:val="auto"/>
        </w:rPr>
        <w:t>, beginning with tier (A)(i) hereof),</w:t>
      </w:r>
    </w:p>
    <w:p>
      <w:pPr>
        <w:spacing w:after="0" w:line="69" w:lineRule="exact"/>
        <w:rPr>
          <w:rFonts w:ascii="Arial" w:cs="Arial" w:eastAsia="Arial" w:hAnsi="Arial"/>
          <w:sz w:val="17"/>
          <w:szCs w:val="17"/>
          <w:color w:val="auto"/>
        </w:rPr>
      </w:pPr>
    </w:p>
    <w:p>
      <w:pPr>
        <w:ind w:left="2740" w:hanging="336"/>
        <w:spacing w:after="0"/>
        <w:tabs>
          <w:tab w:leader="none" w:pos="27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thirteenth</w:t>
      </w:r>
      <w:r>
        <w:rPr>
          <w:rFonts w:ascii="Arial" w:cs="Arial" w:eastAsia="Arial" w:hAnsi="Arial"/>
          <w:sz w:val="18"/>
          <w:szCs w:val="18"/>
          <w:color w:val="auto"/>
        </w:rPr>
        <w:t>, ratably to pay any US Obligations owed to Defaulting Lenders; and</w:t>
      </w:r>
    </w:p>
    <w:p>
      <w:pPr>
        <w:spacing w:after="0" w:line="117" w:lineRule="exact"/>
        <w:rPr>
          <w:rFonts w:ascii="Arial" w:cs="Arial" w:eastAsia="Arial" w:hAnsi="Arial"/>
          <w:sz w:val="18"/>
          <w:szCs w:val="18"/>
          <w:color w:val="auto"/>
        </w:rPr>
      </w:pPr>
    </w:p>
    <w:p>
      <w:pPr>
        <w:ind w:left="2720" w:hanging="316"/>
        <w:spacing w:after="0"/>
        <w:tabs>
          <w:tab w:leader="none" w:pos="27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fourteenth</w:t>
      </w:r>
      <w:r>
        <w:rPr>
          <w:rFonts w:ascii="Arial" w:cs="Arial" w:eastAsia="Arial" w:hAnsi="Arial"/>
          <w:sz w:val="16"/>
          <w:szCs w:val="16"/>
          <w:color w:val="auto"/>
        </w:rPr>
        <w:t>, to US Borrowers (to be wired to the US Designated Account) or such other Person entitled thereto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103" w:lineRule="exact"/>
        <w:rPr>
          <w:sz w:val="20"/>
          <w:szCs w:val="20"/>
          <w:color w:val="auto"/>
        </w:rPr>
      </w:pPr>
    </w:p>
    <w:p>
      <w:pPr>
        <w:ind w:right="400" w:firstLine="1948"/>
        <w:spacing w:after="0" w:line="308" w:lineRule="auto"/>
        <w:tabs>
          <w:tab w:leader="none" w:pos="2225" w:val="left"/>
        </w:tabs>
        <w:numPr>
          <w:ilvl w:val="0"/>
          <w:numId w:val="97"/>
        </w:numPr>
        <w:rPr>
          <w:rFonts w:ascii="Arial" w:cs="Arial" w:eastAsia="Arial" w:hAnsi="Arial"/>
          <w:sz w:val="17"/>
          <w:szCs w:val="17"/>
          <w:color w:val="auto"/>
        </w:rPr>
      </w:pPr>
      <w:r>
        <w:rPr>
          <w:rFonts w:ascii="Arial" w:cs="Arial" w:eastAsia="Arial" w:hAnsi="Arial"/>
          <w:sz w:val="17"/>
          <w:szCs w:val="17"/>
          <w:color w:val="auto"/>
        </w:rPr>
        <w:t>All payments in respect of Foreign Obligations and all proceeds of Collateral securing the Foreign Obligations (other than Collateral also securing the US Obligations, which shall be applied first to the US Obligations) received by Agent shall be applied as follows:</w:t>
      </w:r>
    </w:p>
    <w:p>
      <w:pPr>
        <w:spacing w:after="0" w:line="38" w:lineRule="exact"/>
        <w:rPr>
          <w:sz w:val="20"/>
          <w:szCs w:val="20"/>
          <w:color w:val="auto"/>
        </w:rPr>
      </w:pPr>
    </w:p>
    <w:p>
      <w:pPr>
        <w:ind w:right="100" w:firstLine="1940"/>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first</w:t>
      </w:r>
      <w:r>
        <w:rPr>
          <w:rFonts w:ascii="Arial" w:cs="Arial" w:eastAsia="Arial" w:hAnsi="Arial"/>
          <w:sz w:val="18"/>
          <w:szCs w:val="18"/>
          <w:color w:val="auto"/>
        </w:rPr>
        <w:t>, to pay any Lender Group Expenses (including cost or expense reimbursements) or indemnities then due to Agent under the Loan Documents in respect of the Foreign Obligations, until paid in full,</w:t>
      </w:r>
    </w:p>
    <w:p>
      <w:pPr>
        <w:spacing w:after="0" w:line="6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u w:val="single" w:color="auto"/>
          <w:color w:val="auto"/>
        </w:rPr>
        <w:t>second</w:t>
      </w:r>
      <w:r>
        <w:rPr>
          <w:rFonts w:ascii="Arial" w:cs="Arial" w:eastAsia="Arial" w:hAnsi="Arial"/>
          <w:sz w:val="16"/>
          <w:szCs w:val="16"/>
          <w:color w:val="auto"/>
        </w:rPr>
        <w:t>, to pay any fees or premiums then due to Agent under the Loan Documents in respect of the Foreign Obligations until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paid in full,</w:t>
      </w:r>
    </w:p>
    <w:p>
      <w:pPr>
        <w:spacing w:after="0" w:line="103" w:lineRule="exact"/>
        <w:rPr>
          <w:sz w:val="20"/>
          <w:szCs w:val="20"/>
          <w:color w:val="auto"/>
        </w:rPr>
      </w:pPr>
    </w:p>
    <w:p>
      <w:pPr>
        <w:ind w:left="2180" w:hanging="232"/>
        <w:spacing w:after="0"/>
        <w:tabs>
          <w:tab w:leader="none" w:pos="218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to pay interest due in respect of all Canadian Protective Advances and UK Protective Advances until paid in full,</w:t>
      </w:r>
    </w:p>
    <w:p>
      <w:pPr>
        <w:spacing w:after="0" w:line="128" w:lineRule="exact"/>
        <w:rPr>
          <w:rFonts w:ascii="Arial" w:cs="Arial" w:eastAsia="Arial" w:hAnsi="Arial"/>
          <w:sz w:val="17"/>
          <w:szCs w:val="17"/>
          <w:color w:val="auto"/>
        </w:rPr>
      </w:pPr>
    </w:p>
    <w:p>
      <w:pPr>
        <w:ind w:left="2160" w:hanging="212"/>
        <w:spacing w:after="0"/>
        <w:tabs>
          <w:tab w:leader="none" w:pos="21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Canadian Protective Advances and UK Protective Advances until paid in full,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112" w:name="page113"/>
    <w:bookmarkEnd w:id="112"/>
    <w:p>
      <w:pPr>
        <w:ind w:right="180" w:firstLine="19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 </w:t>
      </w:r>
      <w:r>
        <w:rPr>
          <w:rFonts w:ascii="Arial" w:cs="Arial" w:eastAsia="Arial" w:hAnsi="Arial"/>
          <w:sz w:val="18"/>
          <w:szCs w:val="18"/>
          <w:u w:val="single" w:color="auto"/>
          <w:color w:val="auto"/>
        </w:rPr>
        <w:t>fifth</w:t>
      </w:r>
      <w:r>
        <w:rPr>
          <w:rFonts w:ascii="Arial" w:cs="Arial" w:eastAsia="Arial" w:hAnsi="Arial"/>
          <w:sz w:val="18"/>
          <w:szCs w:val="18"/>
          <w:color w:val="auto"/>
        </w:rPr>
        <w:t>, ratably, to pay any Lender Group Expenses (including cost or expense reimbursements) or indemnities then due to any of the Lenders under the Loan Documents in respect of the Foreign Obligations, until paid in full,</w:t>
      </w:r>
    </w:p>
    <w:p>
      <w:pPr>
        <w:spacing w:after="0" w:line="62" w:lineRule="exact"/>
        <w:rPr>
          <w:sz w:val="20"/>
          <w:szCs w:val="20"/>
          <w:color w:val="auto"/>
        </w:rPr>
      </w:pPr>
    </w:p>
    <w:p>
      <w:pPr>
        <w:ind w:left="2180" w:hanging="232"/>
        <w:spacing w:after="0"/>
        <w:tabs>
          <w:tab w:leader="none" w:pos="218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ratably, to pay any fees or premiums then due to any of the Lenders under the Loan Documents in respect of the Foreign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Obligations until paid in full,</w:t>
      </w:r>
    </w:p>
    <w:p>
      <w:pPr>
        <w:spacing w:after="0" w:line="102" w:lineRule="exact"/>
        <w:rPr>
          <w:rFonts w:ascii="Arial" w:cs="Arial" w:eastAsia="Arial" w:hAnsi="Arial"/>
          <w:sz w:val="16"/>
          <w:szCs w:val="16"/>
          <w:color w:val="auto"/>
        </w:rPr>
      </w:pPr>
    </w:p>
    <w:p>
      <w:pPr>
        <w:ind w:left="2220" w:hanging="272"/>
        <w:spacing w:after="0"/>
        <w:tabs>
          <w:tab w:leader="none" w:pos="22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Canadian Swing Loans and UK Swing Loans until paid in full,</w:t>
      </w:r>
    </w:p>
    <w:p>
      <w:pPr>
        <w:spacing w:after="0" w:line="117" w:lineRule="exact"/>
        <w:rPr>
          <w:rFonts w:ascii="Arial" w:cs="Arial" w:eastAsia="Arial" w:hAnsi="Arial"/>
          <w:sz w:val="18"/>
          <w:szCs w:val="18"/>
          <w:color w:val="auto"/>
        </w:rPr>
      </w:pPr>
    </w:p>
    <w:p>
      <w:pPr>
        <w:ind w:left="2280" w:hanging="332"/>
        <w:spacing w:after="0"/>
        <w:tabs>
          <w:tab w:leader="none" w:pos="22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principal of all Canadian Swing Loans and UK Swing Loans until paid in full,</w:t>
      </w:r>
    </w:p>
    <w:p>
      <w:pPr>
        <w:spacing w:after="0" w:line="117" w:lineRule="exact"/>
        <w:rPr>
          <w:rFonts w:ascii="Arial" w:cs="Arial" w:eastAsia="Arial" w:hAnsi="Arial"/>
          <w:sz w:val="18"/>
          <w:szCs w:val="18"/>
          <w:color w:val="auto"/>
        </w:rPr>
      </w:pPr>
    </w:p>
    <w:p>
      <w:pPr>
        <w:ind w:right="240" w:firstLine="1948"/>
        <w:spacing w:after="0" w:line="277" w:lineRule="auto"/>
        <w:tabs>
          <w:tab w:leader="none" w:pos="217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Canadian Revolving Loans (other than Canadian Protective Advances) and UK Revolving Loans (other than UK Protective Advances) until paid in full,</w:t>
      </w:r>
    </w:p>
    <w:p>
      <w:pPr>
        <w:spacing w:after="0" w:line="62" w:lineRule="exact"/>
        <w:rPr>
          <w:rFonts w:ascii="Arial" w:cs="Arial" w:eastAsia="Arial" w:hAnsi="Arial"/>
          <w:sz w:val="18"/>
          <w:szCs w:val="18"/>
          <w:color w:val="auto"/>
        </w:rPr>
      </w:pPr>
    </w:p>
    <w:p>
      <w:pPr>
        <w:ind w:left="2120" w:hanging="172"/>
        <w:spacing w:after="0"/>
        <w:tabs>
          <w:tab w:leader="none" w:pos="21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117" w:lineRule="exact"/>
        <w:rPr>
          <w:rFonts w:ascii="Arial" w:cs="Arial" w:eastAsia="Arial" w:hAnsi="Arial"/>
          <w:sz w:val="18"/>
          <w:szCs w:val="18"/>
          <w:color w:val="auto"/>
        </w:rPr>
      </w:pPr>
    </w:p>
    <w:p>
      <w:pPr>
        <w:ind w:left="2580" w:hanging="176"/>
        <w:spacing w:after="0"/>
        <w:tabs>
          <w:tab w:leader="none" w:pos="25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pay the principal of all Canadian Revolving Loans and UK Revolving Loans until paid in full,</w:t>
      </w:r>
    </w:p>
    <w:p>
      <w:pPr>
        <w:spacing w:after="0" w:line="117" w:lineRule="exact"/>
        <w:rPr>
          <w:rFonts w:ascii="Arial" w:cs="Arial" w:eastAsia="Arial" w:hAnsi="Arial"/>
          <w:sz w:val="18"/>
          <w:szCs w:val="18"/>
          <w:color w:val="auto"/>
        </w:rPr>
      </w:pPr>
    </w:p>
    <w:p>
      <w:pPr>
        <w:ind w:firstLine="2404"/>
        <w:spacing w:after="0" w:line="288" w:lineRule="auto"/>
        <w:tabs>
          <w:tab w:leader="none" w:pos="2576"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to Agent, to be held by Agent for the ratable benefit of, (x) Canadian Issuing Lender (and for the ratable benefit of each of the Lenders that have an obligation to pay to Agent, for the account of Canadian Issuing Lender, a share of each Canadian Letter of Credit Disbursement), as cash collateral in an amount up to 105% of the Canadian Letter of Credit Usage (to the extent permitted by applicable law, such cash collateral shall be applied to the reimbursement of any Canadian Letter of Credit Disbursement as and when such disbursement occurs and, if a Canadian Letter of Credit expires undrawn, the cash collateral held by Agent in respect of such Letter of Credit shall, to the extent permitted by applicable law, be reapplied pursuant to this </w:t>
      </w:r>
      <w:r>
        <w:rPr>
          <w:rFonts w:ascii="Arial" w:cs="Arial" w:eastAsia="Arial" w:hAnsi="Arial"/>
          <w:sz w:val="16"/>
          <w:szCs w:val="16"/>
          <w:u w:val="single" w:color="auto"/>
          <w:color w:val="auto"/>
        </w:rPr>
        <w:t>Section 2.4(b)(ii)</w:t>
      </w:r>
      <w:r>
        <w:rPr>
          <w:rFonts w:ascii="Arial" w:cs="Arial" w:eastAsia="Arial" w:hAnsi="Arial"/>
          <w:sz w:val="16"/>
          <w:szCs w:val="16"/>
          <w:color w:val="auto"/>
        </w:rPr>
        <w:t xml:space="preserve">, beginning with tier (B)(i) hereof) and (y) UK Issuing Lender (and for the ratable benefit of each of the Lenders that have an obligation to pay to Agent, for the account of UK Issuing Lender, a share of each UK Letter of Credit Disbursement), as cash collateral in an amount up to 120% of the UK Letter of Credit Usage (to the extent permitted by applicable law, such cash collateral shall be applied to the reimbursement of any UK Letter of Credit Disbursement as and when such disbursement occurs and, if a UK Letter of Credit expires undrawn, the cash collateral held by Agent in respect of such Letter of Credit shall, to the extent permitted by applicable law, be reapplied pursuant to this </w:t>
      </w:r>
      <w:r>
        <w:rPr>
          <w:rFonts w:ascii="Arial" w:cs="Arial" w:eastAsia="Arial" w:hAnsi="Arial"/>
          <w:sz w:val="16"/>
          <w:szCs w:val="16"/>
          <w:u w:val="single" w:color="auto"/>
          <w:color w:val="auto"/>
        </w:rPr>
        <w:t>Section 2.4(b)(ii)</w:t>
      </w:r>
      <w:r>
        <w:rPr>
          <w:rFonts w:ascii="Arial" w:cs="Arial" w:eastAsia="Arial" w:hAnsi="Arial"/>
          <w:sz w:val="16"/>
          <w:szCs w:val="16"/>
          <w:color w:val="auto"/>
        </w:rPr>
        <w:t>, beginning with tier (B)(i) hereof),</w:t>
      </w:r>
    </w:p>
    <w:p>
      <w:pPr>
        <w:spacing w:after="0" w:line="61" w:lineRule="exact"/>
        <w:rPr>
          <w:rFonts w:ascii="Arial" w:cs="Arial" w:eastAsia="Arial" w:hAnsi="Arial"/>
          <w:sz w:val="16"/>
          <w:szCs w:val="16"/>
          <w:color w:val="auto"/>
        </w:rPr>
      </w:pPr>
    </w:p>
    <w:p>
      <w:pPr>
        <w:ind w:right="20" w:firstLine="2404"/>
        <w:spacing w:after="0" w:line="276" w:lineRule="auto"/>
        <w:tabs>
          <w:tab w:leader="none" w:pos="2566" w:val="left"/>
        </w:tabs>
        <w:numPr>
          <w:ilvl w:val="1"/>
          <w:numId w:val="99"/>
        </w:numPr>
        <w:rPr>
          <w:rFonts w:ascii="Arial" w:cs="Arial" w:eastAsia="Arial" w:hAnsi="Arial"/>
          <w:sz w:val="17"/>
          <w:szCs w:val="17"/>
          <w:color w:val="auto"/>
        </w:rPr>
      </w:pPr>
      <w:r>
        <w:rPr>
          <w:rFonts w:ascii="Arial" w:cs="Arial" w:eastAsia="Arial" w:hAnsi="Arial"/>
          <w:sz w:val="17"/>
          <w:szCs w:val="17"/>
          <w:color w:val="auto"/>
        </w:rPr>
        <w:t>ratably, (x) up to the amount (after taking into account any amounts previously paid pursuant to this clause c. during the continuation of the applicable Application Event) of the most recently established Canadian Bank Product Reserve, which amount was established prior to the occurrence of, and not in contemplation of, the subject Application Event, to (I) ratably to the Bank Product Providers of Canadian Bank Products (based on the Canadian Bank Product Reserve established for each Canadian Bank Product of each such Bank Product Provider) up to the amounts then certified by the applicable Bank Product Provider to Agent (in form and substance satisfactory to Agent) to be due and payable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4" w:right="2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Bank Product Provider on account of Canadian Bank Product Obligations (but not in excess of the Canadian Bank Product Reserve established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Canadian Bank Product Obligations of such Bank Product Provider), and (II) with any balance to be paid to Agent, to be held by Agent, for the ratable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the Canadian Bank Product Reserve established for each Canadian Bank Product) of the Bank Product Providers for Canadian Bank Products,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collateral (which cash collateral may be released by Agent to the applicable Bank Product Provider and applied by such Bank Product Provider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or reimbursement of any amounts due and payable with respect to Canadian Bank Product Obligations owed to the applicable Bank Product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Provider as and when such amounts first become due and payable and, if and at such time as all such Canadian Bank Product Obligations are paid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otherwise satisfied in full, the cash collateral held by Agent in respect of such Canadian Bank Product Obligations shall be reapplied pursuant to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2.4(b)(ii)</w:t>
      </w:r>
      <w:r>
        <w:rPr>
          <w:rFonts w:ascii="Arial" w:cs="Arial" w:eastAsia="Arial" w:hAnsi="Arial"/>
          <w:sz w:val="16"/>
          <w:szCs w:val="16"/>
          <w:color w:val="auto"/>
        </w:rPr>
        <w:t>, beginning with tier (B)(i) hereof) and (y) up to the amount (after taking into account any amounts previously paid pursuant to this clause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continuation of the applicable Application Event) of the most recently established UK Bank Product Reserve, which amount was established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occurrence of, and not in contemplation of, the subject Application Event, to (I) ratably to the Bank Product Providers of UK Bank Products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UK Bank Product Reserve established for each UK Bank Product of each such Bank Product Provider) up to the amounts then certified by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Product Provider to Agent (in form and substance satisfactory to Agent) to be due and payable to such Bank Product Provider on account of UK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Obligations (but not in excess of the UK Bank Product Reserve established for the UK Bank Product Obligations of such Bank Product Provider),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with any balance to be paid to Agent, to be held by Agent, for the ratable benefit (based on the UK Bank Product Reserve established for each UK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Product) of the Bank Product Providers for UK Bank Products, as cash collateral (which cash collateral may be released by Agent to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Product Provider and applied by such Bank Product Provider to the payment or reimbursement of any amounts due and payable with respect to UK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Product Obligations owed to the applicable Bank Product Provider as and when such amounts first become due and payable and, if and at such time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such UK Bank Product Obligations are paid or otherwise satisfied in full, the cash collateral held by Agent in respect of such UK Bank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Obligations shall be reapplied pursuant to this </w:t>
      </w:r>
      <w:r>
        <w:rPr>
          <w:rFonts w:ascii="Arial" w:cs="Arial" w:eastAsia="Arial" w:hAnsi="Arial"/>
          <w:sz w:val="18"/>
          <w:szCs w:val="18"/>
          <w:u w:val="single" w:color="auto"/>
          <w:color w:val="auto"/>
        </w:rPr>
        <w:t>Section 2.4(b)(ii)</w:t>
      </w:r>
      <w:r>
        <w:rPr>
          <w:rFonts w:ascii="Arial" w:cs="Arial" w:eastAsia="Arial" w:hAnsi="Arial"/>
          <w:sz w:val="18"/>
          <w:szCs w:val="18"/>
          <w:color w:val="auto"/>
        </w:rPr>
        <w:t>, beginning with tier (B)(i) hereof),</w:t>
      </w:r>
    </w:p>
    <w:p>
      <w:pPr>
        <w:spacing w:after="0" w:line="103" w:lineRule="exact"/>
        <w:rPr>
          <w:sz w:val="20"/>
          <w:szCs w:val="20"/>
          <w:color w:val="auto"/>
        </w:rPr>
      </w:pPr>
    </w:p>
    <w:p>
      <w:pPr>
        <w:ind w:firstLine="1948"/>
        <w:spacing w:after="0" w:line="290" w:lineRule="auto"/>
        <w:tabs>
          <w:tab w:leader="none" w:pos="217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eleventh</w:t>
      </w:r>
      <w:r>
        <w:rPr>
          <w:rFonts w:ascii="Arial" w:cs="Arial" w:eastAsia="Arial" w:hAnsi="Arial"/>
          <w:sz w:val="16"/>
          <w:szCs w:val="16"/>
          <w:color w:val="auto"/>
        </w:rPr>
        <w:t xml:space="preserve">, ratably to pay any other Foreign Obligations other than Foreign Obligations owed to Defaulting Lenders (including being paid, ratably, to the Bank Product Providers on account of all amounts then due and payable in respect of Canadian Bank Product Obligations and UK Bank Product Obligations,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Canadian Bank Product Obligations and UK Bank Product Obligations owed to the applicable Bank Product Provider as and when such amounts first become due and payable and, if and at such time as all such Canadian Bank Product Obligations and UK Bank Product Obligations are paid or otherwise satisfied in full, the cash collateral held by Agent in respect of such Canadian Bank Product Obligations and UK Bank Product Obligations shall be reapplied pursuant to this </w:t>
      </w:r>
      <w:r>
        <w:rPr>
          <w:rFonts w:ascii="Arial" w:cs="Arial" w:eastAsia="Arial" w:hAnsi="Arial"/>
          <w:sz w:val="16"/>
          <w:szCs w:val="16"/>
          <w:u w:val="single" w:color="auto"/>
          <w:color w:val="auto"/>
        </w:rPr>
        <w:t>Section 2.4(b)(ii)</w:t>
      </w:r>
      <w:r>
        <w:rPr>
          <w:rFonts w:ascii="Arial" w:cs="Arial" w:eastAsia="Arial" w:hAnsi="Arial"/>
          <w:sz w:val="16"/>
          <w:szCs w:val="16"/>
          <w:color w:val="auto"/>
        </w:rPr>
        <w:t>, beginning with tier (B)(i) 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74" w:right="259" w:bottom="1440" w:gutter="0" w:footer="0" w:header="0"/>
        </w:sectPr>
      </w:pPr>
    </w:p>
    <w:bookmarkStart w:id="114" w:name="page115"/>
    <w:bookmarkEnd w:id="114"/>
    <w:p>
      <w:pPr>
        <w:ind w:left="2140" w:hanging="272"/>
        <w:spacing w:after="0"/>
        <w:tabs>
          <w:tab w:leader="none" w:pos="214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twelfth</w:t>
      </w:r>
      <w:r>
        <w:rPr>
          <w:rFonts w:ascii="Arial" w:cs="Arial" w:eastAsia="Arial" w:hAnsi="Arial"/>
          <w:sz w:val="18"/>
          <w:szCs w:val="18"/>
          <w:color w:val="auto"/>
        </w:rPr>
        <w:t>, ratably to pay any Foreign Obligations owed to Defaulting Lenders; and</w:t>
      </w:r>
    </w:p>
    <w:p>
      <w:pPr>
        <w:spacing w:after="0" w:line="117" w:lineRule="exact"/>
        <w:rPr>
          <w:rFonts w:ascii="Arial" w:cs="Arial" w:eastAsia="Arial" w:hAnsi="Arial"/>
          <w:sz w:val="18"/>
          <w:szCs w:val="18"/>
          <w:color w:val="auto"/>
        </w:rPr>
      </w:pPr>
    </w:p>
    <w:p>
      <w:pPr>
        <w:ind w:left="-80" w:right="140" w:firstLine="1948"/>
        <w:spacing w:after="0" w:line="277" w:lineRule="auto"/>
        <w:tabs>
          <w:tab w:leader="none" w:pos="219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thirteenth</w:t>
      </w:r>
      <w:r>
        <w:rPr>
          <w:rFonts w:ascii="Arial" w:cs="Arial" w:eastAsia="Arial" w:hAnsi="Arial"/>
          <w:sz w:val="18"/>
          <w:szCs w:val="18"/>
          <w:color w:val="auto"/>
        </w:rPr>
        <w:t>, to Canadian Borrowers (to be wired to the Canadian Designated Account), UK Borrowers (to be wired to the UK Designated Account) or such other Person entitled thereto under applicable law.</w:t>
      </w:r>
    </w:p>
    <w:p>
      <w:pPr>
        <w:spacing w:after="0" w:line="62" w:lineRule="exact"/>
        <w:rPr>
          <w:rFonts w:ascii="Arial" w:cs="Arial" w:eastAsia="Arial" w:hAnsi="Arial"/>
          <w:sz w:val="18"/>
          <w:szCs w:val="18"/>
          <w:color w:val="auto"/>
        </w:rPr>
      </w:pPr>
    </w:p>
    <w:p>
      <w:pPr>
        <w:ind w:left="-80" w:right="220" w:firstLine="1492"/>
        <w:spacing w:after="0" w:line="277" w:lineRule="auto"/>
        <w:tabs>
          <w:tab w:leader="none" w:pos="171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80" w:right="220" w:firstLine="1492"/>
        <w:spacing w:after="0" w:line="264" w:lineRule="auto"/>
        <w:tabs>
          <w:tab w:leader="none" w:pos="17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In each instance, so long as no Application Event has occurred and is continuing, </w:t>
      </w:r>
      <w:r>
        <w:rPr>
          <w:rFonts w:ascii="Arial" w:cs="Arial" w:eastAsia="Arial" w:hAnsi="Arial"/>
          <w:sz w:val="18"/>
          <w:szCs w:val="18"/>
          <w:u w:val="single" w:color="auto"/>
          <w:color w:val="auto"/>
        </w:rPr>
        <w:t>Section 2.4(b)(i)</w:t>
      </w:r>
      <w:r>
        <w:rPr>
          <w:rFonts w:ascii="Arial" w:cs="Arial" w:eastAsia="Arial" w:hAnsi="Arial"/>
          <w:sz w:val="18"/>
          <w:szCs w:val="18"/>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73" w:lineRule="exact"/>
        <w:rPr>
          <w:rFonts w:ascii="Arial" w:cs="Arial" w:eastAsia="Arial" w:hAnsi="Arial"/>
          <w:sz w:val="18"/>
          <w:szCs w:val="18"/>
          <w:color w:val="auto"/>
        </w:rPr>
      </w:pPr>
    </w:p>
    <w:p>
      <w:pPr>
        <w:ind w:left="-80" w:right="20" w:firstLine="1492"/>
        <w:spacing w:after="0" w:line="259" w:lineRule="auto"/>
        <w:tabs>
          <w:tab w:leader="none" w:pos="16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2.4(b)(ii)</w:t>
      </w:r>
      <w:r>
        <w:rPr>
          <w:rFonts w:ascii="Arial" w:cs="Arial" w:eastAsia="Arial" w:hAnsi="Arial"/>
          <w:sz w:val="18"/>
          <w:szCs w:val="18"/>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78" w:lineRule="exact"/>
        <w:rPr>
          <w:rFonts w:ascii="Arial" w:cs="Arial" w:eastAsia="Arial" w:hAnsi="Arial"/>
          <w:sz w:val="18"/>
          <w:szCs w:val="18"/>
          <w:color w:val="auto"/>
        </w:rPr>
      </w:pPr>
    </w:p>
    <w:p>
      <w:pPr>
        <w:ind w:left="-80" w:right="200" w:firstLine="1492"/>
        <w:spacing w:after="0" w:line="257" w:lineRule="auto"/>
        <w:tabs>
          <w:tab w:leader="none" w:pos="17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In the event of a direct conflict between the priority provisions of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then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control and govern, and if otherwise, then the terms and provisions of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control and govern.</w:t>
      </w:r>
    </w:p>
    <w:p>
      <w:pPr>
        <w:spacing w:after="0" w:line="80" w:lineRule="exact"/>
        <w:rPr>
          <w:rFonts w:ascii="Arial" w:cs="Arial" w:eastAsia="Arial" w:hAnsi="Arial"/>
          <w:sz w:val="18"/>
          <w:szCs w:val="18"/>
          <w:color w:val="auto"/>
        </w:rPr>
      </w:pPr>
    </w:p>
    <w:p>
      <w:pPr>
        <w:ind w:left="-80" w:firstLine="1492"/>
        <w:spacing w:after="0" w:line="254" w:lineRule="auto"/>
        <w:tabs>
          <w:tab w:leader="none" w:pos="17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Payments from US Loan Parties shall be deemed to be in respect of US Obligations and, except where the application of such payment is expressly indicated to apply to all Foreign Obligations (or all Foreign Obligations of a particular type), payments from Canadian Loan Parties shall be deemed to be in respect of Canadian Obligations and payments from UK Loan Parties shall be deemed to be in respect of UK Obligations. If a payment is from proceeds of Collateral that secures both US Obligations and Foreign Obligations, or is a payment from a Person that is not organized under the laws of the United States or any state thereof but has guaranteed both the US Obligations and the Foreign Obligations, any such payment shall be, so long as no Application Event has occurred and is continuing, as specified by the Borrowers or, if not so specified or if an Application Event has occurred and is continuing, as determined by Agent (and in the absence of such determination, shall be assumed to be a payment in respect of US Obligations until the US Obligations are paid in full).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80"/>
          </w:cols>
          <w:pgMar w:left="320" w:top="274" w:right="299" w:bottom="1440" w:gutter="0" w:footer="0" w:header="0"/>
        </w:sectPr>
      </w:pPr>
    </w:p>
    <w:bookmarkStart w:id="115" w:name="page116"/>
    <w:bookmarkEnd w:id="115"/>
    <w:p>
      <w:pPr>
        <w:ind w:firstLine="921"/>
        <w:spacing w:after="0" w:line="285" w:lineRule="auto"/>
        <w:tabs>
          <w:tab w:leader="none" w:pos="1157"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Reduction of Revolver Commitments</w:t>
      </w:r>
      <w:r>
        <w:rPr>
          <w:rFonts w:ascii="Arial" w:cs="Arial" w:eastAsia="Arial" w:hAnsi="Arial"/>
          <w:sz w:val="16"/>
          <w:szCs w:val="16"/>
          <w:color w:val="auto"/>
        </w:rPr>
        <w:t>. The Revolver Commitments shall terminate on the Maturity Date or earlier termination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the terms of this Agreement. Borrowers may reduce the US Revolver Commitments, the UK Revolver Commitments or the Canadian Revolver Commitments, as applicable, without premium or penalty, to an amount (which may be zero) not less than the sum of (A) the Revolver Usage as of such date, </w:t>
      </w:r>
      <w:r>
        <w:rPr>
          <w:rFonts w:ascii="Arial" w:cs="Arial" w:eastAsia="Arial" w:hAnsi="Arial"/>
          <w:sz w:val="16"/>
          <w:szCs w:val="16"/>
          <w:i w:val="1"/>
          <w:iCs w:val="1"/>
          <w:u w:val="single" w:color="auto"/>
          <w:color w:val="auto"/>
        </w:rPr>
        <w:t>plus</w:t>
      </w:r>
      <w:r>
        <w:rPr>
          <w:rFonts w:ascii="Arial" w:cs="Arial" w:eastAsia="Arial" w:hAnsi="Arial"/>
          <w:sz w:val="16"/>
          <w:szCs w:val="16"/>
          <w:i w:val="1"/>
          <w:iCs w:val="1"/>
          <w:color w:val="auto"/>
        </w:rPr>
        <w:t xml:space="preserve"> </w:t>
      </w:r>
      <w:r>
        <w:rPr>
          <w:rFonts w:ascii="Arial" w:cs="Arial" w:eastAsia="Arial" w:hAnsi="Arial"/>
          <w:sz w:val="16"/>
          <w:szCs w:val="16"/>
          <w:color w:val="auto"/>
        </w:rPr>
        <w:t>(B) the principal amount of all applicable Revolving Loans not yet made as to which a request has been given by Borrowers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2.3(a)</w:t>
      </w:r>
      <w:r>
        <w:rPr>
          <w:rFonts w:ascii="Arial" w:cs="Arial" w:eastAsia="Arial" w:hAnsi="Arial"/>
          <w:sz w:val="16"/>
          <w:szCs w:val="16"/>
          <w:i w:val="1"/>
          <w:iCs w:val="1"/>
          <w:color w:val="auto"/>
        </w:rPr>
        <w:t xml:space="preserve"> </w:t>
      </w:r>
      <w:r>
        <w:rPr>
          <w:rFonts w:ascii="Arial" w:cs="Arial" w:eastAsia="Arial" w:hAnsi="Arial"/>
          <w:sz w:val="16"/>
          <w:szCs w:val="16"/>
          <w:color w:val="auto"/>
        </w:rPr>
        <w:t>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has not been permitted by Agent to be revoked by the Borrowers,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 the amount of all applicable Letters of Credit not yet issued as to which a request has been given by Borrowers pursuant to </w:t>
      </w:r>
      <w:r>
        <w:rPr>
          <w:rFonts w:ascii="Arial" w:cs="Arial" w:eastAsia="Arial" w:hAnsi="Arial"/>
          <w:sz w:val="16"/>
          <w:szCs w:val="16"/>
          <w:u w:val="single" w:color="auto"/>
          <w:color w:val="auto"/>
        </w:rPr>
        <w:t>Section 2.11A(a)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2.11B(a)</w:t>
      </w:r>
      <w:r>
        <w:rPr>
          <w:rFonts w:ascii="Arial" w:cs="Arial" w:eastAsia="Arial" w:hAnsi="Arial"/>
          <w:sz w:val="16"/>
          <w:szCs w:val="16"/>
          <w:color w:val="auto"/>
        </w:rPr>
        <w:t>, as applicable. Each such reduction shall be in an amount which is not less than $25,000,000 (unless the applicable Revolver Commitments are being reduced to zero and the amount of the applicable Revolver Commitments in effect immediately prior to such reduction are less than $25,000,000), shall be made by providing not less than three Business Days prior written notice to Agent, and shall be irrevocable. The applicable Revolver Commitments, once reduced, may not be increased. A reduction of the US Revolver Commitments shall not automatically result in a reduction of the Canadian Revolver Commitments or the UK Revolver Commitments (unless the Borrowers so elect), provided that the Canadian Maximum Revolver Amount shall not at any time exceed 25% the amount of the US Revolver Commitments and the UK Maximum Revolver Amount shall not at any time exceed 10% of the amount of the US Revolver Commitments. Each such reduction of the applicable Revolver Commitments shall reduce the applicable Revolver Commitments of each Lender proportionately in accordance with its ratable share thereof. In connection with any reduction in the applicable Revolver Commitments prior to the Maturity Date, if any Loan Party or any of its Subsidiaries owns any Margin Stock, Borrowers shall deliver to Agent an updated Form U-1 (with sufficient additional originals thereof for each Lender), duly executed and delivered by the Borrowers, together with such other documentation as Agent shall reasonably request, in order to enable Agent and the Lenders to comply with any of the requirements under Regulations T, U or X of the Federal Reserve Board.</w:t>
      </w:r>
    </w:p>
    <w:p>
      <w:pPr>
        <w:spacing w:after="0" w:line="67" w:lineRule="exact"/>
        <w:rPr>
          <w:rFonts w:ascii="Arial" w:cs="Arial" w:eastAsia="Arial" w:hAnsi="Arial"/>
          <w:sz w:val="16"/>
          <w:szCs w:val="16"/>
          <w:color w:val="auto"/>
        </w:rPr>
      </w:pPr>
    </w:p>
    <w:p>
      <w:pPr>
        <w:ind w:right="60" w:firstLine="921"/>
        <w:spacing w:after="0" w:line="276" w:lineRule="auto"/>
        <w:tabs>
          <w:tab w:leader="none" w:pos="1168"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Optional Prepayments of Revolving Loans</w:t>
      </w:r>
      <w:r>
        <w:rPr>
          <w:rFonts w:ascii="Arial" w:cs="Arial" w:eastAsia="Arial" w:hAnsi="Arial"/>
          <w:sz w:val="17"/>
          <w:szCs w:val="17"/>
          <w:color w:val="auto"/>
        </w:rPr>
        <w:t>. The applicable Borrowers may prepay the principal of any US Revolving Loan, UK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Loan or Canadian Revolving Loan, as applicable, at any time in whole or in part, without premium or penalty (but subject to the provisions of</w:t>
      </w: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2.12(c)</w:t>
      </w:r>
      <w:r>
        <w:rPr>
          <w:rFonts w:ascii="Arial" w:cs="Arial" w:eastAsia="Arial" w:hAnsi="Arial"/>
          <w:sz w:val="18"/>
          <w:szCs w:val="18"/>
          <w:color w:val="auto"/>
        </w:rPr>
        <w:t>).</w:t>
      </w:r>
    </w:p>
    <w:p>
      <w:pPr>
        <w:spacing w:after="0" w:line="98" w:lineRule="exact"/>
        <w:rPr>
          <w:rFonts w:ascii="Arial" w:cs="Arial" w:eastAsia="Arial" w:hAnsi="Arial"/>
          <w:sz w:val="17"/>
          <w:szCs w:val="17"/>
          <w:color w:val="auto"/>
        </w:rPr>
      </w:pPr>
    </w:p>
    <w:p>
      <w:pPr>
        <w:ind w:firstLine="921"/>
        <w:spacing w:after="0" w:line="290" w:lineRule="auto"/>
        <w:tabs>
          <w:tab w:leader="none" w:pos="1157"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Mandatory Prepayments</w:t>
      </w:r>
      <w:r>
        <w:rPr>
          <w:rFonts w:ascii="Arial" w:cs="Arial" w:eastAsia="Arial" w:hAnsi="Arial"/>
          <w:sz w:val="16"/>
          <w:szCs w:val="16"/>
          <w:color w:val="auto"/>
        </w:rPr>
        <w:t>. If, at any time, (A) the US Revolver Usage on such date exceeds (B) the lesser of (x) the US Borrowing Base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reflected in the Borrowing Base Certificate most recently delivered by Borrowers to Agent, or (y) the Maximum Revolver Amount, in all cases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then US Borrowers shall promptly, but in any event, within one Business Day, prepay the US Obligations in accordance with </w:t>
      </w:r>
      <w:r>
        <w:rPr>
          <w:rFonts w:ascii="Arial" w:cs="Arial" w:eastAsia="Arial" w:hAnsi="Arial"/>
          <w:sz w:val="16"/>
          <w:szCs w:val="16"/>
          <w:u w:val="single" w:color="auto"/>
          <w:color w:val="auto"/>
        </w:rPr>
        <w:t>Section 2.4(f)</w:t>
      </w:r>
      <w:r>
        <w:rPr>
          <w:rFonts w:ascii="Arial" w:cs="Arial" w:eastAsia="Arial" w:hAnsi="Arial"/>
          <w:sz w:val="16"/>
          <w:szCs w:val="16"/>
          <w:color w:val="auto"/>
        </w:rPr>
        <w:t xml:space="preserve"> in an aggregate amount equal to the amount of such excess. If, at any time, (A) the Dollar Equivalent of the Canadian Revolver Usage on such date exceeds (B) the lesser of (x) the Canadian Borrowing Base reflected in the Borrowing Base Certificate most recently delivered by Borrowers to Agent (including any excess arising as a result of fluctuations in exchange rates), or (y) the Canadian Maximum Revolver Amount, in all cases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then Canadian Borrowers shall promptly, but in any event, within one Business Day, prepay the Canadian Obligations in accordance with </w:t>
      </w:r>
      <w:r>
        <w:rPr>
          <w:rFonts w:ascii="Arial" w:cs="Arial" w:eastAsia="Arial" w:hAnsi="Arial"/>
          <w:sz w:val="16"/>
          <w:szCs w:val="16"/>
          <w:u w:val="single" w:color="auto"/>
          <w:color w:val="auto"/>
        </w:rPr>
        <w:t>Section 2.4(f)</w:t>
      </w:r>
      <w:r>
        <w:rPr>
          <w:rFonts w:ascii="Arial" w:cs="Arial" w:eastAsia="Arial" w:hAnsi="Arial"/>
          <w:sz w:val="16"/>
          <w:szCs w:val="16"/>
          <w:color w:val="auto"/>
        </w:rPr>
        <w:t xml:space="preserve"> in an aggregate amount equal to the amount of such excess. If, at any time, (A) the Dollar Equivalent of the UK Revolver Usage on such date exceeds (B) the lesser of (x) the UK Borrowing Base reflected in the Borrowing Base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0" w:right="239" w:bottom="1440" w:gutter="0" w:footer="0" w:header="0"/>
        </w:sectPr>
      </w:pPr>
    </w:p>
    <w:bookmarkStart w:id="116" w:name="page117"/>
    <w:bookmarkEnd w:id="116"/>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Certificate most recently delivered by Borrowers to Agent (including any excess arising as a result of fluctuations in exchange rates), or (y) the UK Maximum Revolver Amount, in all cases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then UK Borrowers shall promptly, but in any event, within one Business Day, prepay the UK Obligations in accordance with </w:t>
      </w:r>
      <w:r>
        <w:rPr>
          <w:rFonts w:ascii="Arial" w:cs="Arial" w:eastAsia="Arial" w:hAnsi="Arial"/>
          <w:sz w:val="16"/>
          <w:szCs w:val="16"/>
          <w:u w:val="single" w:color="auto"/>
          <w:color w:val="auto"/>
        </w:rPr>
        <w:t>Section 2.4(f)</w:t>
      </w:r>
      <w:r>
        <w:rPr>
          <w:rFonts w:ascii="Arial" w:cs="Arial" w:eastAsia="Arial" w:hAnsi="Arial"/>
          <w:sz w:val="16"/>
          <w:szCs w:val="16"/>
          <w:color w:val="auto"/>
        </w:rPr>
        <w:t xml:space="preserve"> in an aggregate amount equal to the amount of such excess.</w:t>
      </w:r>
    </w:p>
    <w:p>
      <w:pPr>
        <w:jc w:val="both"/>
        <w:ind w:right="100"/>
        <w:spacing w:after="0" w:line="277" w:lineRule="auto"/>
        <w:rPr>
          <w:sz w:val="20"/>
          <w:szCs w:val="20"/>
          <w:color w:val="auto"/>
        </w:rPr>
      </w:pPr>
      <w:r>
        <w:rPr>
          <w:rFonts w:ascii="Arial" w:cs="Arial" w:eastAsia="Arial" w:hAnsi="Arial"/>
          <w:sz w:val="17"/>
          <w:szCs w:val="17"/>
          <w:color w:val="auto"/>
        </w:rPr>
        <w:t xml:space="preserve">Within one Business Day of the date of receipt by any Loan Party or any of its Subsidiaries of the Net Cash Proceeds of a Permitted Sale Leaseback during a Cash Dominion Period (and at no other time), Borrowers shall prepay the outstanding principal amount of the Obligations in accordance with </w:t>
      </w:r>
      <w:r>
        <w:rPr>
          <w:rFonts w:ascii="Arial" w:cs="Arial" w:eastAsia="Arial" w:hAnsi="Arial"/>
          <w:sz w:val="17"/>
          <w:szCs w:val="17"/>
          <w:u w:val="single" w:color="auto"/>
          <w:color w:val="auto"/>
        </w:rPr>
        <w:t>Section 2.4(f)</w:t>
      </w:r>
      <w:r>
        <w:rPr>
          <w:rFonts w:ascii="Arial" w:cs="Arial" w:eastAsia="Arial" w:hAnsi="Arial"/>
          <w:sz w:val="17"/>
          <w:szCs w:val="17"/>
          <w:color w:val="auto"/>
        </w:rPr>
        <w:t xml:space="preserve"> in an amount equal to 100% of such Net Cash Proceeds received by such Person in connection with such Permitted Sale Leaseback.</w:t>
      </w:r>
    </w:p>
    <w:p>
      <w:pPr>
        <w:spacing w:after="0" w:line="61" w:lineRule="exact"/>
        <w:rPr>
          <w:sz w:val="20"/>
          <w:szCs w:val="20"/>
          <w:color w:val="auto"/>
        </w:rPr>
      </w:pPr>
    </w:p>
    <w:p>
      <w:pPr>
        <w:ind w:right="160" w:firstLine="921"/>
        <w:spacing w:after="0" w:line="270" w:lineRule="auto"/>
        <w:tabs>
          <w:tab w:leader="none" w:pos="1138"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Application of Payments</w:t>
      </w:r>
      <w:r>
        <w:rPr>
          <w:rFonts w:ascii="Arial" w:cs="Arial" w:eastAsia="Arial" w:hAnsi="Arial"/>
          <w:sz w:val="17"/>
          <w:szCs w:val="17"/>
          <w:color w:val="auto"/>
        </w:rPr>
        <w:t>. Each prepayment pursuant to the first and the last sentences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2.4(e)</w:t>
      </w:r>
      <w:r>
        <w:rPr>
          <w:rFonts w:ascii="Arial" w:cs="Arial" w:eastAsia="Arial" w:hAnsi="Arial"/>
          <w:sz w:val="17"/>
          <w:szCs w:val="17"/>
          <w:b w:val="1"/>
          <w:bCs w:val="1"/>
          <w:color w:val="auto"/>
        </w:rPr>
        <w:t xml:space="preserve"> </w:t>
      </w:r>
      <w:r>
        <w:rPr>
          <w:rFonts w:ascii="Arial" w:cs="Arial" w:eastAsia="Arial" w:hAnsi="Arial"/>
          <w:sz w:val="17"/>
          <w:szCs w:val="17"/>
          <w:color w:val="auto"/>
        </w:rPr>
        <w:t>shall, (1) so long as no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Event shall have occurred and be continuing, be applied, first, to the outstanding principal amount of the US Revolving Loans until paid in full, and second, to cash collateralize the US Letters of Credit in an amount equal to 105% of the then outstanding US Letter of Credit Usage, and (2) if an Application Event shall have occurred and be continuing, be applied in the manner set forth in </w:t>
      </w:r>
      <w:r>
        <w:rPr>
          <w:rFonts w:ascii="Arial" w:cs="Arial" w:eastAsia="Arial" w:hAnsi="Arial"/>
          <w:sz w:val="17"/>
          <w:szCs w:val="17"/>
          <w:u w:val="single" w:color="auto"/>
          <w:color w:val="auto"/>
        </w:rPr>
        <w:t>Section 2.4(b)(ii)</w:t>
      </w:r>
      <w:r>
        <w:rPr>
          <w:rFonts w:ascii="Arial" w:cs="Arial" w:eastAsia="Arial" w:hAnsi="Arial"/>
          <w:sz w:val="17"/>
          <w:szCs w:val="17"/>
          <w:color w:val="auto"/>
        </w:rPr>
        <w:t xml:space="preserve">. Each prepayment pursuant to the second sentence of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shall, (1) so long as no Application Event shall have occurred and be continuing, be applied, first, to the outstanding principal amount of the Canadian Revolving Loans until paid in full, and second, to cash collateralize the Canadian Letters of Credit in an amount equal to 105% of the then outstanding Canadian Letter of Credit Usage, and (2) if an Application Event shall have occurred and be continuing, be applied in the manner set forth in </w:t>
      </w:r>
      <w:r>
        <w:rPr>
          <w:rFonts w:ascii="Arial" w:cs="Arial" w:eastAsia="Arial" w:hAnsi="Arial"/>
          <w:sz w:val="17"/>
          <w:szCs w:val="17"/>
          <w:u w:val="single" w:color="auto"/>
          <w:color w:val="auto"/>
        </w:rPr>
        <w:t>Section 2.4(b)(ii)</w:t>
      </w:r>
      <w:r>
        <w:rPr>
          <w:rFonts w:ascii="Arial" w:cs="Arial" w:eastAsia="Arial" w:hAnsi="Arial"/>
          <w:sz w:val="17"/>
          <w:szCs w:val="17"/>
          <w:color w:val="auto"/>
        </w:rPr>
        <w:t xml:space="preserve">. Each prepayment pursuant to the third sentence of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shall, (1) so long as no Application Event shall have occurred and be continuing, be applied, first, to the outstanding principal amount of the UK Revolving Loans until paid in full, and second, to cash collateralize the UK Letters of Credit in an amount equal to 120% of the then outstanding UK Letter of Credit Usage, and (2) if an Application Event shall have occurred and be continuing, be applied in the manner set forth in </w:t>
      </w:r>
      <w:r>
        <w:rPr>
          <w:rFonts w:ascii="Arial" w:cs="Arial" w:eastAsia="Arial" w:hAnsi="Arial"/>
          <w:sz w:val="17"/>
          <w:szCs w:val="17"/>
          <w:u w:val="single" w:color="auto"/>
          <w:color w:val="auto"/>
        </w:rPr>
        <w:t>Section 2.4(b)(ii)</w:t>
      </w:r>
      <w:r>
        <w:rPr>
          <w:rFonts w:ascii="Arial" w:cs="Arial" w:eastAsia="Arial" w:hAnsi="Arial"/>
          <w:sz w:val="17"/>
          <w:szCs w:val="17"/>
          <w:color w:val="auto"/>
        </w:rPr>
        <w: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Promise to Pay; Promissory Notes</w:t>
      </w:r>
      <w:r>
        <w:rPr>
          <w:rFonts w:ascii="Arial" w:cs="Arial" w:eastAsia="Arial" w:hAnsi="Arial"/>
          <w:sz w:val="18"/>
          <w:szCs w:val="18"/>
          <w:color w:val="auto"/>
        </w:rPr>
        <w:t>.</w:t>
      </w:r>
    </w:p>
    <w:p>
      <w:pPr>
        <w:spacing w:after="0" w:line="121" w:lineRule="exact"/>
        <w:rPr>
          <w:sz w:val="20"/>
          <w:szCs w:val="20"/>
          <w:color w:val="auto"/>
        </w:rPr>
      </w:pPr>
    </w:p>
    <w:p>
      <w:pPr>
        <w:ind w:right="40" w:firstLine="921"/>
        <w:spacing w:after="0" w:line="270" w:lineRule="auto"/>
        <w:tabs>
          <w:tab w:leader="none" w:pos="115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Borrowers agree to pay the Lender Group Expenses owing by such Borrower on the earlier of (i) the first day of the month following the date on which the applicable Lender Group Expenses were first incurred, or (ii) the date on which demand therefor is made by Agent (it being acknowledged and agreed that any charging of such costs, expenses or Lender Group Expenses to the applicable Loan Account pursuant to the provisions of </w:t>
      </w:r>
      <w:r>
        <w:rPr>
          <w:rFonts w:ascii="Arial" w:cs="Arial" w:eastAsia="Arial" w:hAnsi="Arial"/>
          <w:sz w:val="17"/>
          <w:szCs w:val="17"/>
          <w:u w:val="single" w:color="auto"/>
          <w:color w:val="auto"/>
        </w:rPr>
        <w:t>Section 2.6(d)</w:t>
      </w:r>
      <w:r>
        <w:rPr>
          <w:rFonts w:ascii="Arial" w:cs="Arial" w:eastAsia="Arial" w:hAnsi="Arial"/>
          <w:sz w:val="17"/>
          <w:szCs w:val="17"/>
          <w:color w:val="auto"/>
        </w:rPr>
        <w:t xml:space="preserve"> shall be deemed to constitute a demand for payment thereof for the purposes of this subclause (ii)). US Borrowers promise to pay all of the Obligations (including principal, interest, premiums, if any, fees, costs, and expenses (including Lender Group Expenses)) in full on the Maturity Date or, if earlier, on the date on which the Obligations (other than the Bank Product Obligations) become due and payable pursuant to the terms of this Agreement. Canadian Borrowers promise to pay all of the Obligations (including principal, interest, premiums, if any, fees, costs, and expenses (including Lender Group Expenses)) owing by such Canadian Borrowers in full on the Maturity Date or, if earlier, on the date on which such Obligations (other than the Bank Product Obligations) become due and payable pursuant to the terms of this Agreement. UK Borrowers promise to pay all of the Obligations (including principal, interest, premiums, if any, fees, costs, and expenses (including Lender Group Expenses)) owing by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274" w:right="259" w:bottom="1440" w:gutter="0" w:footer="0" w:header="0"/>
        </w:sectPr>
      </w:pPr>
    </w:p>
    <w:bookmarkStart w:id="117" w:name="page118"/>
    <w:bookmarkEnd w:id="117"/>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UK Borrowers in full on the Maturity Date or, if earlier, on the date on which such Obligations (other than the Bank Product Obligations) become due and payable pursuant to the terms of this Agreement. Borrowers agree that their obligations contained in this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shall survive payment or satisfaction in full of all other Obligations.</w:t>
      </w:r>
    </w:p>
    <w:p>
      <w:pPr>
        <w:spacing w:after="0" w:line="73" w:lineRule="exact"/>
        <w:rPr>
          <w:sz w:val="20"/>
          <w:szCs w:val="20"/>
          <w:color w:val="auto"/>
        </w:rPr>
      </w:pPr>
    </w:p>
    <w:p>
      <w:pPr>
        <w:ind w:firstLine="921"/>
        <w:spacing w:after="0" w:line="257" w:lineRule="auto"/>
        <w:tabs>
          <w:tab w:leader="none" w:pos="116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Lender may request that any portion of its Commitments or the Loans made by it be evidenced by one or more promissory notes. In such event, the applicable Borrowers shall execute and deliver to such Lender the requested promissory notes payable to the order of such Lender in a form furnished by Agent and reasonably satisfactory to the applicable Borrowers. Thereafter, the portion of the Commitments and Loans evidenced by such promissory notes and interest thereon shall at all times be represented by one or more promissory notes in such form payable to the order of the payee named therein.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Interest Rates and Letter of Credit Fee: Rates, Payments, and Calculations</w:t>
      </w:r>
      <w:r>
        <w:rPr>
          <w:rFonts w:ascii="Arial" w:cs="Arial" w:eastAsia="Arial" w:hAnsi="Arial"/>
          <w:sz w:val="18"/>
          <w:szCs w:val="18"/>
          <w:color w:val="auto"/>
        </w:rPr>
        <w:t>.</w:t>
      </w:r>
    </w:p>
    <w:p>
      <w:pPr>
        <w:spacing w:after="0" w:line="117" w:lineRule="exact"/>
        <w:rPr>
          <w:sz w:val="20"/>
          <w:szCs w:val="20"/>
          <w:color w:val="auto"/>
        </w:rPr>
      </w:pPr>
    </w:p>
    <w:p>
      <w:pPr>
        <w:ind w:right="360" w:firstLine="921"/>
        <w:spacing w:after="0" w:line="282" w:lineRule="auto"/>
        <w:tabs>
          <w:tab w:leader="none" w:pos="1157"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Interest Rates</w:t>
      </w:r>
      <w:r>
        <w:rPr>
          <w:rFonts w:ascii="Arial" w:cs="Arial" w:eastAsia="Arial" w:hAnsi="Arial"/>
          <w:sz w:val="18"/>
          <w:szCs w:val="18"/>
          <w:color w:val="auto"/>
        </w:rPr>
        <w:t>.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2.6(c)</w:t>
      </w:r>
      <w:r>
        <w:rPr>
          <w:rFonts w:ascii="Arial" w:cs="Arial" w:eastAsia="Arial" w:hAnsi="Arial"/>
          <w:sz w:val="18"/>
          <w:szCs w:val="18"/>
          <w:color w:val="auto"/>
        </w:rPr>
        <w:t>, all Obligations (except for undrawn Letters of Credit) that have been charged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Account pursuant to the terms hereof shall bear interest as follows:</w:t>
      </w:r>
    </w:p>
    <w:p>
      <w:pPr>
        <w:spacing w:after="0" w:line="57" w:lineRule="exact"/>
        <w:rPr>
          <w:rFonts w:ascii="Arial" w:cs="Arial" w:eastAsia="Arial" w:hAnsi="Arial"/>
          <w:sz w:val="18"/>
          <w:szCs w:val="18"/>
          <w:color w:val="auto"/>
        </w:rPr>
      </w:pPr>
    </w:p>
    <w:p>
      <w:pPr>
        <w:ind w:right="360" w:firstLine="1492"/>
        <w:spacing w:after="0" w:line="277" w:lineRule="auto"/>
        <w:tabs>
          <w:tab w:leader="none" w:pos="169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US Revolving Loans and all other US Obligations (except for undrawn US Letters of Credit) that have been charged to the US Loan Account pursuant to the terms hereof, shall bear interest as follows:</w:t>
      </w:r>
    </w:p>
    <w:p>
      <w:pPr>
        <w:spacing w:after="0" w:line="62" w:lineRule="exact"/>
        <w:rPr>
          <w:rFonts w:ascii="Arial" w:cs="Arial" w:eastAsia="Arial" w:hAnsi="Arial"/>
          <w:sz w:val="18"/>
          <w:szCs w:val="18"/>
          <w:color w:val="auto"/>
        </w:rPr>
      </w:pPr>
    </w:p>
    <w:p>
      <w:pPr>
        <w:ind w:left="2240" w:hanging="292"/>
        <w:spacing w:after="0"/>
        <w:tabs>
          <w:tab w:leader="none" w:pos="224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if the relevant US Obligation is a Non-Base Rate Loan, at a per annum rate equal to the LIBOR Rate plus the Non-Base 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Margin,</w:t>
      </w:r>
    </w:p>
    <w:p>
      <w:pPr>
        <w:spacing w:after="0" w:line="102" w:lineRule="exact"/>
        <w:rPr>
          <w:rFonts w:ascii="Arial" w:cs="Arial" w:eastAsia="Arial" w:hAnsi="Arial"/>
          <w:sz w:val="16"/>
          <w:szCs w:val="16"/>
          <w:color w:val="auto"/>
        </w:rPr>
      </w:pPr>
    </w:p>
    <w:p>
      <w:pPr>
        <w:ind w:left="2240" w:hanging="292"/>
        <w:spacing w:after="0"/>
        <w:tabs>
          <w:tab w:leader="none" w:pos="224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if the relevant US Obligation is a Base Rate Loan, at a per annum rate equal to the US Base Rate plus the Revolver Base 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Margin,</w:t>
      </w:r>
    </w:p>
    <w:p>
      <w:pPr>
        <w:spacing w:after="0" w:line="102" w:lineRule="exact"/>
        <w:rPr>
          <w:rFonts w:ascii="Arial" w:cs="Arial" w:eastAsia="Arial" w:hAnsi="Arial"/>
          <w:sz w:val="16"/>
          <w:szCs w:val="16"/>
          <w:color w:val="auto"/>
        </w:rPr>
      </w:pPr>
    </w:p>
    <w:p>
      <w:pPr>
        <w:ind w:left="2240" w:hanging="292"/>
        <w:spacing w:after="0"/>
        <w:tabs>
          <w:tab w:leader="none" w:pos="22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otherwise, at a per annum rate equal to the US Base Rate plus the Revolver Base Rate Margin; and</w:t>
      </w:r>
    </w:p>
    <w:p>
      <w:pPr>
        <w:spacing w:after="0" w:line="117" w:lineRule="exact"/>
        <w:rPr>
          <w:rFonts w:ascii="Arial" w:cs="Arial" w:eastAsia="Arial" w:hAnsi="Arial"/>
          <w:sz w:val="18"/>
          <w:szCs w:val="18"/>
          <w:color w:val="auto"/>
        </w:rPr>
      </w:pPr>
    </w:p>
    <w:p>
      <w:pPr>
        <w:ind w:right="300" w:firstLine="1492"/>
        <w:spacing w:after="0" w:line="277" w:lineRule="auto"/>
        <w:tabs>
          <w:tab w:leader="none" w:pos="174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Canadian Revolving Loans and all other Canadian Obligations (except for undrawn Canadian Letters of Credit) that have been charged to the Canadian Loan Account pursuant to the terms hereof, shall bear interest as follows:</w:t>
      </w:r>
    </w:p>
    <w:p>
      <w:pPr>
        <w:spacing w:after="0" w:line="62" w:lineRule="exact"/>
        <w:rPr>
          <w:rFonts w:ascii="Arial" w:cs="Arial" w:eastAsia="Arial" w:hAnsi="Arial"/>
          <w:sz w:val="18"/>
          <w:szCs w:val="18"/>
          <w:color w:val="auto"/>
        </w:rPr>
      </w:pPr>
    </w:p>
    <w:p>
      <w:pPr>
        <w:ind w:right="20" w:firstLine="1948"/>
        <w:spacing w:after="0" w:line="277" w:lineRule="auto"/>
        <w:tabs>
          <w:tab w:leader="none" w:pos="2235"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if the relevant Canadian Obligation is a Non-Base Rate Loan in Canadian Dollars, at a per annum rate equal to the CDOR Rate plus the Non-Base Rate Margin,</w:t>
      </w:r>
    </w:p>
    <w:p>
      <w:pPr>
        <w:spacing w:after="0" w:line="62" w:lineRule="exact"/>
        <w:rPr>
          <w:rFonts w:ascii="Arial" w:cs="Arial" w:eastAsia="Arial" w:hAnsi="Arial"/>
          <w:sz w:val="18"/>
          <w:szCs w:val="18"/>
          <w:color w:val="auto"/>
        </w:rPr>
      </w:pPr>
    </w:p>
    <w:p>
      <w:pPr>
        <w:ind w:left="2240" w:hanging="292"/>
        <w:spacing w:after="0"/>
        <w:tabs>
          <w:tab w:leader="none" w:pos="224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if the relevant Canadian Obligation is a Non-Base Rate Loan in Dollars, at a per annum rate equal to the LIBOR Rate plus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Non-Base Rate Margin,</w:t>
      </w:r>
    </w:p>
    <w:p>
      <w:pPr>
        <w:spacing w:after="0" w:line="102" w:lineRule="exact"/>
        <w:rPr>
          <w:rFonts w:ascii="Arial" w:cs="Arial" w:eastAsia="Arial" w:hAnsi="Arial"/>
          <w:sz w:val="16"/>
          <w:szCs w:val="16"/>
          <w:color w:val="auto"/>
        </w:rPr>
      </w:pPr>
    </w:p>
    <w:p>
      <w:pPr>
        <w:ind w:right="200" w:firstLine="1948"/>
        <w:spacing w:after="0" w:line="277" w:lineRule="auto"/>
        <w:tabs>
          <w:tab w:leader="none" w:pos="2225"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if the relevant Canadian Obligation is a Base Rate Loan in Canadian Dollars, at a per annum rate equal to the Canadian Base Rate plus the Base Rate Margin,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4" w:right="2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if the relevant Canadian Obligation is a Base Rate Loan in Dollars, at a per annum rate equal to the US Base Rate plus the 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Rate Margin,</w:t>
      </w:r>
    </w:p>
    <w:p>
      <w:pPr>
        <w:spacing w:after="0" w:line="103" w:lineRule="exact"/>
        <w:rPr>
          <w:sz w:val="20"/>
          <w:szCs w:val="20"/>
          <w:color w:val="auto"/>
        </w:rPr>
      </w:pPr>
    </w:p>
    <w:p>
      <w:pPr>
        <w:ind w:right="160" w:firstLine="1948"/>
        <w:spacing w:after="0" w:line="277" w:lineRule="auto"/>
        <w:tabs>
          <w:tab w:leader="none" w:pos="2215" w:val="left"/>
        </w:tabs>
        <w:numPr>
          <w:ilvl w:val="3"/>
          <w:numId w:val="108"/>
        </w:numPr>
        <w:rPr>
          <w:rFonts w:ascii="Arial" w:cs="Arial" w:eastAsia="Arial" w:hAnsi="Arial"/>
          <w:sz w:val="18"/>
          <w:szCs w:val="18"/>
          <w:color w:val="auto"/>
        </w:rPr>
      </w:pPr>
      <w:r>
        <w:rPr>
          <w:rFonts w:ascii="Arial" w:cs="Arial" w:eastAsia="Arial" w:hAnsi="Arial"/>
          <w:sz w:val="18"/>
          <w:szCs w:val="18"/>
          <w:color w:val="auto"/>
        </w:rPr>
        <w:t>if the relevant Canadian Obligation is otherwise a Canadian Obligation denominated in Canadian Dollars, at a per annum rate equal to the Canadian Base Rate plus the Base Rate Margin, and</w:t>
      </w:r>
    </w:p>
    <w:p>
      <w:pPr>
        <w:spacing w:after="0" w:line="62" w:lineRule="exact"/>
        <w:rPr>
          <w:rFonts w:ascii="Arial" w:cs="Arial" w:eastAsia="Arial" w:hAnsi="Arial"/>
          <w:sz w:val="18"/>
          <w:szCs w:val="18"/>
          <w:color w:val="auto"/>
        </w:rPr>
      </w:pPr>
    </w:p>
    <w:p>
      <w:pPr>
        <w:ind w:left="2220" w:hanging="272"/>
        <w:spacing w:after="0"/>
        <w:tabs>
          <w:tab w:leader="none" w:pos="222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otherwise, at a per annum rate equal to the applicable US Base Rate plus the Base Rate Margin.</w:t>
      </w:r>
    </w:p>
    <w:p>
      <w:pPr>
        <w:spacing w:after="0" w:line="117" w:lineRule="exact"/>
        <w:rPr>
          <w:rFonts w:ascii="Arial" w:cs="Arial" w:eastAsia="Arial" w:hAnsi="Arial"/>
          <w:sz w:val="18"/>
          <w:szCs w:val="18"/>
          <w:color w:val="auto"/>
        </w:rPr>
      </w:pPr>
    </w:p>
    <w:p>
      <w:pPr>
        <w:ind w:right="160" w:firstLine="1492"/>
        <w:spacing w:after="0" w:line="277" w:lineRule="auto"/>
        <w:tabs>
          <w:tab w:leader="none" w:pos="1798"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all UK Revolving Loans and all other UK Obligations (except for undrawn UK Letters of Credit) that have been charged to the UK Loan Account pursuant to the terms hereof, shall bear interest as follows:</w:t>
      </w:r>
    </w:p>
    <w:p>
      <w:pPr>
        <w:spacing w:after="0" w:line="62" w:lineRule="exact"/>
        <w:rPr>
          <w:rFonts w:ascii="Arial" w:cs="Arial" w:eastAsia="Arial" w:hAnsi="Arial"/>
          <w:sz w:val="18"/>
          <w:szCs w:val="18"/>
          <w:color w:val="auto"/>
        </w:rPr>
      </w:pPr>
    </w:p>
    <w:p>
      <w:pPr>
        <w:ind w:right="480" w:firstLine="1948"/>
        <w:spacing w:after="0" w:line="277" w:lineRule="auto"/>
        <w:tabs>
          <w:tab w:leader="none" w:pos="2235" w:val="left"/>
        </w:tabs>
        <w:numPr>
          <w:ilvl w:val="3"/>
          <w:numId w:val="109"/>
        </w:numPr>
        <w:rPr>
          <w:rFonts w:ascii="Arial" w:cs="Arial" w:eastAsia="Arial" w:hAnsi="Arial"/>
          <w:sz w:val="18"/>
          <w:szCs w:val="18"/>
          <w:color w:val="auto"/>
        </w:rPr>
      </w:pPr>
      <w:r>
        <w:rPr>
          <w:rFonts w:ascii="Arial" w:cs="Arial" w:eastAsia="Arial" w:hAnsi="Arial"/>
          <w:sz w:val="18"/>
          <w:szCs w:val="18"/>
          <w:color w:val="auto"/>
        </w:rPr>
        <w:t>if the relevant UK Obligation is a Non-Base Rate Loan, at a per annum rate equal to the LIBOR Rate (for the Applicable Currency) plus the Non-Base Rate Margin,</w:t>
      </w:r>
    </w:p>
    <w:p>
      <w:pPr>
        <w:spacing w:after="0" w:line="62" w:lineRule="exact"/>
        <w:rPr>
          <w:rFonts w:ascii="Arial" w:cs="Arial" w:eastAsia="Arial" w:hAnsi="Arial"/>
          <w:sz w:val="18"/>
          <w:szCs w:val="18"/>
          <w:color w:val="auto"/>
        </w:rPr>
      </w:pPr>
    </w:p>
    <w:p>
      <w:pPr>
        <w:ind w:left="2240" w:hanging="292"/>
        <w:spacing w:after="0"/>
        <w:tabs>
          <w:tab w:leader="none" w:pos="2240" w:val="left"/>
        </w:tabs>
        <w:numPr>
          <w:ilvl w:val="3"/>
          <w:numId w:val="109"/>
        </w:numPr>
        <w:rPr>
          <w:rFonts w:ascii="Arial" w:cs="Arial" w:eastAsia="Arial" w:hAnsi="Arial"/>
          <w:sz w:val="16"/>
          <w:szCs w:val="16"/>
          <w:color w:val="auto"/>
        </w:rPr>
      </w:pPr>
      <w:r>
        <w:rPr>
          <w:rFonts w:ascii="Arial" w:cs="Arial" w:eastAsia="Arial" w:hAnsi="Arial"/>
          <w:sz w:val="16"/>
          <w:szCs w:val="16"/>
          <w:color w:val="auto"/>
        </w:rPr>
        <w:t>if the relevant UK Obligation is a Base Rate Loan in Sterling, at a per annum rate equal to the UK Floating Rate plus the Base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Rate Margin,</w:t>
      </w:r>
    </w:p>
    <w:p>
      <w:pPr>
        <w:spacing w:after="0" w:line="102" w:lineRule="exact"/>
        <w:rPr>
          <w:rFonts w:ascii="Arial" w:cs="Arial" w:eastAsia="Arial" w:hAnsi="Arial"/>
          <w:sz w:val="16"/>
          <w:szCs w:val="16"/>
          <w:color w:val="auto"/>
        </w:rPr>
      </w:pPr>
    </w:p>
    <w:p>
      <w:pPr>
        <w:ind w:right="480" w:firstLine="1948"/>
        <w:spacing w:after="0" w:line="277" w:lineRule="auto"/>
        <w:tabs>
          <w:tab w:leader="none" w:pos="2225" w:val="left"/>
        </w:tabs>
        <w:numPr>
          <w:ilvl w:val="3"/>
          <w:numId w:val="109"/>
        </w:numPr>
        <w:rPr>
          <w:rFonts w:ascii="Arial" w:cs="Arial" w:eastAsia="Arial" w:hAnsi="Arial"/>
          <w:sz w:val="18"/>
          <w:szCs w:val="18"/>
          <w:color w:val="auto"/>
        </w:rPr>
      </w:pPr>
      <w:r>
        <w:rPr>
          <w:rFonts w:ascii="Arial" w:cs="Arial" w:eastAsia="Arial" w:hAnsi="Arial"/>
          <w:sz w:val="18"/>
          <w:szCs w:val="18"/>
          <w:color w:val="auto"/>
        </w:rPr>
        <w:t>if the relevant UK Obligation is otherwise a UK Obligation denominated in Sterling, at a per annum rate equal to the UK Floating Rate plus the Base Rate Margin, and</w:t>
      </w:r>
    </w:p>
    <w:p>
      <w:pPr>
        <w:spacing w:after="0" w:line="62" w:lineRule="exact"/>
        <w:rPr>
          <w:rFonts w:ascii="Arial" w:cs="Arial" w:eastAsia="Arial" w:hAnsi="Arial"/>
          <w:sz w:val="18"/>
          <w:szCs w:val="18"/>
          <w:color w:val="auto"/>
        </w:rPr>
      </w:pPr>
    </w:p>
    <w:p>
      <w:pPr>
        <w:ind w:left="2240" w:hanging="292"/>
        <w:spacing w:after="0"/>
        <w:tabs>
          <w:tab w:leader="none" w:pos="2240" w:val="left"/>
        </w:tabs>
        <w:numPr>
          <w:ilvl w:val="3"/>
          <w:numId w:val="109"/>
        </w:numPr>
        <w:rPr>
          <w:rFonts w:ascii="Arial" w:cs="Arial" w:eastAsia="Arial" w:hAnsi="Arial"/>
          <w:sz w:val="18"/>
          <w:szCs w:val="18"/>
          <w:color w:val="auto"/>
        </w:rPr>
      </w:pPr>
      <w:r>
        <w:rPr>
          <w:rFonts w:ascii="Arial" w:cs="Arial" w:eastAsia="Arial" w:hAnsi="Arial"/>
          <w:sz w:val="18"/>
          <w:szCs w:val="18"/>
          <w:color w:val="auto"/>
        </w:rPr>
        <w:t>otherwise, at a per annum rate equal to the applicable US Base Rate plus the Base Rate Margin.</w:t>
      </w:r>
    </w:p>
    <w:p>
      <w:pPr>
        <w:spacing w:after="0" w:line="113" w:lineRule="exact"/>
        <w:rPr>
          <w:rFonts w:ascii="Arial" w:cs="Arial" w:eastAsia="Arial" w:hAnsi="Arial"/>
          <w:sz w:val="18"/>
          <w:szCs w:val="18"/>
          <w:color w:val="auto"/>
        </w:rPr>
      </w:pPr>
    </w:p>
    <w:p>
      <w:pPr>
        <w:ind w:right="280" w:firstLine="921"/>
        <w:spacing w:after="0" w:line="258" w:lineRule="auto"/>
        <w:tabs>
          <w:tab w:leader="none" w:pos="1168"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Letter of Credit Fee</w:t>
      </w:r>
      <w:r>
        <w:rPr>
          <w:rFonts w:ascii="Arial" w:cs="Arial" w:eastAsia="Arial" w:hAnsi="Arial"/>
          <w:sz w:val="18"/>
          <w:szCs w:val="18"/>
          <w:color w:val="auto"/>
        </w:rPr>
        <w:t>. Borrowers shall pay Agent (for the ratable benefit of the Revolving Lenders), a Letter of Credit fee (the “</w:t>
      </w:r>
      <w:r>
        <w:rPr>
          <w:rFonts w:ascii="Arial" w:cs="Arial" w:eastAsia="Arial" w:hAnsi="Arial"/>
          <w:sz w:val="18"/>
          <w:szCs w:val="18"/>
          <w:u w:val="single" w:color="auto"/>
          <w:color w:val="auto"/>
        </w:rPr>
        <w:t>Letter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Credit Fee</w:t>
      </w:r>
      <w:r>
        <w:rPr>
          <w:rFonts w:ascii="Arial" w:cs="Arial" w:eastAsia="Arial" w:hAnsi="Arial"/>
          <w:sz w:val="18"/>
          <w:szCs w:val="18"/>
          <w:color w:val="auto"/>
        </w:rPr>
        <w:t xml:space="preserve">”) (which fee shall be in addition to the fronting fees and commissions, other fees, charges and expenses set forth in </w:t>
      </w:r>
      <w:r>
        <w:rPr>
          <w:rFonts w:ascii="Arial" w:cs="Arial" w:eastAsia="Arial" w:hAnsi="Arial"/>
          <w:sz w:val="18"/>
          <w:szCs w:val="18"/>
          <w:u w:val="single" w:color="auto"/>
          <w:color w:val="auto"/>
        </w:rPr>
        <w:t>Section 2.11A(k)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2.11B(k)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2.11C(k)</w:t>
      </w:r>
      <w:r>
        <w:rPr>
          <w:rFonts w:ascii="Arial" w:cs="Arial" w:eastAsia="Arial" w:hAnsi="Arial"/>
          <w:sz w:val="18"/>
          <w:szCs w:val="18"/>
          <w:color w:val="auto"/>
        </w:rPr>
        <w:t xml:space="preserve">, as applicable) in the Applicable Currency that shall accrue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the Non-Base Rate Margin times the times the average amount of the Letter of Credit Usage in respect of which such Borrower is the account party during the immediately preceding quarter (or if an Event of Default has occurred, month).</w:t>
      </w:r>
    </w:p>
    <w:p>
      <w:pPr>
        <w:spacing w:after="0" w:line="75"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6"/>
          <w:szCs w:val="16"/>
          <w:color w:val="auto"/>
        </w:rPr>
      </w:pPr>
      <w:r>
        <w:rPr>
          <w:rFonts w:ascii="Arial" w:cs="Arial" w:eastAsia="Arial" w:hAnsi="Arial"/>
          <w:sz w:val="16"/>
          <w:szCs w:val="16"/>
          <w:b w:val="1"/>
          <w:bCs w:val="1"/>
          <w:color w:val="auto"/>
        </w:rPr>
        <w:t>Default Rate</w:t>
      </w:r>
      <w:r>
        <w:rPr>
          <w:rFonts w:ascii="Arial" w:cs="Arial" w:eastAsia="Arial" w:hAnsi="Arial"/>
          <w:sz w:val="16"/>
          <w:szCs w:val="16"/>
          <w:color w:val="auto"/>
        </w:rPr>
        <w:t>. (i) Automatically upon the occurrence and during the continuation of an Event of Default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8.4</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8.5</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8.13</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p>
    <w:p>
      <w:pPr>
        <w:spacing w:after="0" w:line="50" w:lineRule="exact"/>
        <w:rPr>
          <w:rFonts w:ascii="Arial" w:cs="Arial" w:eastAsia="Arial" w:hAnsi="Arial"/>
          <w:sz w:val="16"/>
          <w:szCs w:val="16"/>
          <w:color w:val="auto"/>
        </w:rPr>
      </w:pPr>
    </w:p>
    <w:p>
      <w:pPr>
        <w:ind w:right="80" w:firstLine="8"/>
        <w:spacing w:after="0" w:line="292" w:lineRule="auto"/>
        <w:tabs>
          <w:tab w:leader="none" w:pos="26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continuation of any other Event of Default (other than an Event of Default under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8.13</w:t>
      </w:r>
      <w:r>
        <w:rPr>
          <w:rFonts w:ascii="Arial" w:cs="Arial" w:eastAsia="Arial" w:hAnsi="Arial"/>
          <w:sz w:val="16"/>
          <w:szCs w:val="16"/>
          <w:color w:val="auto"/>
        </w:rPr>
        <w:t xml:space="preserve">), at the direction of Agent or the Required Lenders, and upon written notice by Agent to Borrowers of such direction (provided, that such notice shall not be required for any Event of Default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 all Loans and all Obligations (except for undrawn Letters of Credit) that have been charged to the Loan Account pursuant to the terms hereof shall bear interest at a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rate equal to two percentage points above the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rate otherwise applicable thereunder, and (B) the Letter of Credit Fee shall be increased to two percentage points above the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rate otherwise applicable hereunder.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4" w:right="239" w:bottom="1440" w:gutter="0" w:footer="0" w:header="0"/>
        </w:sectPr>
      </w:pPr>
    </w:p>
    <w:bookmarkStart w:id="119" w:name="page120"/>
    <w:bookmarkEnd w:id="119"/>
    <w:p>
      <w:pPr>
        <w:ind w:right="40" w:firstLine="921"/>
        <w:spacing w:after="0" w:line="285" w:lineRule="auto"/>
        <w:tabs>
          <w:tab w:leader="none" w:pos="1168" w:val="left"/>
        </w:tabs>
        <w:numPr>
          <w:ilvl w:val="1"/>
          <w:numId w:val="11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w:t>
      </w:r>
      <w:r>
        <w:rPr>
          <w:rFonts w:ascii="Arial" w:cs="Arial" w:eastAsia="Arial" w:hAnsi="Arial"/>
          <w:sz w:val="16"/>
          <w:szCs w:val="16"/>
          <w:color w:val="auto"/>
        </w:rPr>
        <w:t>. Except to the extent provided to the contrary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2.11A(k)</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2.11B(k)</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2.12(a)</w:t>
      </w:r>
      <w:r>
        <w:rPr>
          <w:rFonts w:ascii="Arial" w:cs="Arial" w:eastAsia="Arial" w:hAnsi="Arial"/>
          <w:sz w:val="16"/>
          <w:szCs w:val="16"/>
          <w:color w:val="auto"/>
        </w:rPr>
        <w:t>, (i) all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all other fees payable hereunder or under any of the other Loan Documents (other than Letter of Credit Fees) shall be due and payable, in arrears, on the first day of each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has occurred and is continuing, such amounts shall be due and payable, in arrears, on the first day of each month, (ii) all Letter of Credit Fees payable hereunder, and all fronting fees and all commissions, other fees, charges and expenses provided for in </w:t>
      </w:r>
      <w:r>
        <w:rPr>
          <w:rFonts w:ascii="Arial" w:cs="Arial" w:eastAsia="Arial" w:hAnsi="Arial"/>
          <w:sz w:val="16"/>
          <w:szCs w:val="16"/>
          <w:u w:val="single" w:color="auto"/>
          <w:color w:val="auto"/>
        </w:rPr>
        <w:t>Section 2.11A(k)</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2.11B(k)</w:t>
      </w:r>
      <w:r>
        <w:rPr>
          <w:rFonts w:ascii="Arial" w:cs="Arial" w:eastAsia="Arial" w:hAnsi="Arial"/>
          <w:sz w:val="16"/>
          <w:szCs w:val="16"/>
          <w:color w:val="auto"/>
        </w:rPr>
        <w:t xml:space="preserve"> shall be due and payable, in arrears, on the first Business Day of each quarter; </w:t>
      </w:r>
      <w:r>
        <w:rPr>
          <w:rFonts w:ascii="Arial" w:cs="Arial" w:eastAsia="Arial" w:hAnsi="Arial"/>
          <w:sz w:val="16"/>
          <w:szCs w:val="16"/>
          <w:u w:val="single" w:color="auto"/>
          <w:color w:val="auto"/>
        </w:rPr>
        <w:t>provided</w:t>
      </w:r>
      <w:r>
        <w:rPr>
          <w:rFonts w:ascii="Arial" w:cs="Arial" w:eastAsia="Arial" w:hAnsi="Arial"/>
          <w:sz w:val="16"/>
          <w:szCs w:val="16"/>
          <w:color w:val="auto"/>
        </w:rPr>
        <w:t>, that if an Event of Default has occurred and is continuing, such Letter of Credit Fees shall be due and payable, in arrears, on the first Business Day of each month, and (iii) all costs and expenses payable hereunder or under any of the other Loan Documents, and all other Lender Group Expenses shall be due and payable on the earlier of</w:t>
      </w:r>
    </w:p>
    <w:p>
      <w:pPr>
        <w:spacing w:after="0" w:line="1" w:lineRule="exact"/>
        <w:rPr>
          <w:rFonts w:ascii="Arial" w:cs="Arial" w:eastAsia="Arial" w:hAnsi="Arial"/>
          <w:sz w:val="16"/>
          <w:szCs w:val="16"/>
          <w:color w:val="auto"/>
        </w:rPr>
      </w:pPr>
    </w:p>
    <w:p>
      <w:pPr>
        <w:ind w:right="80" w:firstLine="8"/>
        <w:spacing w:after="0" w:line="281" w:lineRule="auto"/>
        <w:tabs>
          <w:tab w:leader="none" w:pos="2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first day of the month following the date on which the applicable costs, expenses, or Lender Group Expenses were first incurred, or (y) the date on which demand therefor is made by Agent (it being acknowledged and agreed that any charging of such costs, expenses or Lender Group Expenses to the applicable Loan Account pursuant to the provisions of the following sentence shall be deemed to constitute a demand for payment thereof for the purposes of this subclause (y)). Borrowers hereby authorize Agent, from time to time without prior notice to Borrowers, to charge to the Loan Account of such Borrower</w:t>
      </w:r>
    </w:p>
    <w:p>
      <w:pPr>
        <w:spacing w:after="0" w:line="2"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(A) on the first day of each quarter (or, if an Event of Default has occurred and is continuing, on the first day of each month), all interest accrued during the prior quarter (or if an Event of Default has occurred and is continuing, month) on the Revolving Loans for the account of such Borrower hereunder, (B) on the first Business Day of each quarter (or, if an Event of Default has occurred and is continuing, on the first Business Day of each month), all Letter of Credit Fees accrued or chargeable hereunder during the prior quarter (or, if an Event of Default has occurred and is continuing, during the prior month) for the account of such Borrower, (C) as and when incurred or accrued, all fees and costs provided for in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owing by such Borrower, (D) on the first day of each quarter (or, if an Event of Default has occurred and is continuing, during the prior month), the Unused Line Fee accrued during the prior quarter (or if an Event of Default has occurred and is continuing, month) pursuant to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(it being understood that such fee is an obligation of US Borrowers and shall be charged to the US Loan Account), (E) as and when due and payable, all other fees payable hereunder or under any of the other Loan Documents by such Borrower, (F) as and when incurred or accrued, all other Lender Group Expenses owing by such Borrower, and (G) as and when due and payable all other payment obligations payable under any Loan Document or any Bank Product Agreement (including any amounts due and payable to the Bank Product Providers in respect of Bank Products) owing by such Borrower. All amounts (including interest, fees, costs, expenses, Lender Group Expenses, or other amounts payable hereunder or under any other Loan Document or under any Bank Product Agreement) charged to the applicable Loan Account shall thereupon constitute Revolving Loans hereunder for the account of the applicable Borrower, shall constitute Obligations hereunder of such Borrower, and shall initially accrue interest at the rate then applicable to Revolving Loans that are Base Rate Loans (unless and until converted into Non-Base Rate Loans in accordance with the terms of this Agreement).</w:t>
      </w:r>
    </w:p>
    <w:p>
      <w:pPr>
        <w:spacing w:after="0" w:line="69" w:lineRule="exact"/>
        <w:rPr>
          <w:rFonts w:ascii="Arial" w:cs="Arial" w:eastAsia="Arial" w:hAnsi="Arial"/>
          <w:sz w:val="16"/>
          <w:szCs w:val="16"/>
          <w:color w:val="auto"/>
        </w:rPr>
      </w:pPr>
    </w:p>
    <w:p>
      <w:pPr>
        <w:ind w:right="80" w:firstLine="921"/>
        <w:spacing w:after="0" w:line="266" w:lineRule="auto"/>
        <w:tabs>
          <w:tab w:leader="none" w:pos="1157"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Computation</w:t>
      </w:r>
      <w:r>
        <w:rPr>
          <w:rFonts w:ascii="Arial" w:cs="Arial" w:eastAsia="Arial" w:hAnsi="Arial"/>
          <w:sz w:val="18"/>
          <w:szCs w:val="18"/>
          <w:color w:val="auto"/>
        </w:rPr>
        <w:t>. All interest and fees chargeable under the Loan Documents shall be calculated on the basis of a 360 day year and actual days</w:t>
      </w:r>
      <w:r>
        <w:rPr>
          <w:rFonts w:ascii="Arial" w:cs="Arial" w:eastAsia="Arial" w:hAnsi="Arial"/>
          <w:sz w:val="18"/>
          <w:szCs w:val="18"/>
          <w:b w:val="1"/>
          <w:bCs w:val="1"/>
          <w:color w:val="auto"/>
        </w:rPr>
        <w:t xml:space="preserve"> </w:t>
      </w:r>
      <w:r>
        <w:rPr>
          <w:rFonts w:ascii="Arial" w:cs="Arial" w:eastAsia="Arial" w:hAnsi="Arial"/>
          <w:sz w:val="18"/>
          <w:szCs w:val="18"/>
          <w:color w:val="auto"/>
        </w:rPr>
        <w:t>elapsed, other than for Base Rate Loans (including Canadian Revolving Loans bearing interest at the applicable Base Rate or CDOR Rate and UK Revolving Loans bearing interest at the applicable UK</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0" w:right="239" w:bottom="1440" w:gutter="0" w:footer="0" w:header="0"/>
        </w:sectPr>
      </w:pPr>
    </w:p>
    <w:bookmarkStart w:id="120" w:name="page121"/>
    <w:bookmarkEnd w:id="120"/>
    <w:p>
      <w:pPr>
        <w:jc w:val="both"/>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Floating Rate) which shall be calculated on the basis of 365 or 366 day year, as applicable, and actual days elapsed. In the event the Base Rate is changed from time to time hereafter, the rates of interest hereunder based upon the Base Rate automatically and immediately shall be increased or decreased by an amount equal to such change in the Base Rate.</w:t>
      </w:r>
    </w:p>
    <w:p>
      <w:pPr>
        <w:spacing w:after="0" w:line="69" w:lineRule="exact"/>
        <w:rPr>
          <w:sz w:val="20"/>
          <w:szCs w:val="20"/>
          <w:color w:val="auto"/>
        </w:rPr>
      </w:pPr>
    </w:p>
    <w:p>
      <w:pPr>
        <w:ind w:firstLine="921"/>
        <w:spacing w:after="0" w:line="255" w:lineRule="auto"/>
        <w:tabs>
          <w:tab w:leader="none" w:pos="1138"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Intent to Limit Charges to Maximum Lawful Rate</w:t>
      </w:r>
      <w:r>
        <w:rPr>
          <w:rFonts w:ascii="Arial" w:cs="Arial" w:eastAsia="Arial" w:hAnsi="Arial"/>
          <w:sz w:val="18"/>
          <w:szCs w:val="18"/>
          <w:color w:val="auto"/>
        </w:rPr>
        <w:t>. In no event shall the interest rate or rates payable under this Agreement,</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amounts paid in connection herewith, exceed the highest rate permissible under any law that a court of competent jurisdiction shall, in a final determination, deem applicable. Borrowers and the Lender Group, in executing and delivering this Agreement, intend legally to agree upon the rate or rates of interest and manner of payment stated within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contained herein to the contrary notwithstanding, but subject to Section 2.17 in the case of the Canadian Borrowers, if such rate or rates of interest or manner of payment exceeds the maximum allowable under applicable law, then, </w:t>
      </w:r>
      <w:r>
        <w:rPr>
          <w:rFonts w:ascii="Arial" w:cs="Arial" w:eastAsia="Arial" w:hAnsi="Arial"/>
          <w:sz w:val="18"/>
          <w:szCs w:val="18"/>
          <w:i w:val="1"/>
          <w:iCs w:val="1"/>
          <w:color w:val="auto"/>
        </w:rPr>
        <w:t>ipso facto</w:t>
      </w:r>
      <w:r>
        <w:rPr>
          <w:rFonts w:ascii="Arial" w:cs="Arial" w:eastAsia="Arial" w:hAnsi="Arial"/>
          <w:sz w:val="18"/>
          <w:szCs w:val="18"/>
          <w:color w:val="auto"/>
        </w:rPr>
        <w:t>, as of the date of this Agreement, Borrowers are and shall be liable only for the payment of such maximum amount as is allowed by law, and payment received from Borrowers in excess of such legal maximum, whenever received, shall be applied to reduce the principal balance of the applicable Obligations to the extent of such excess.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u w:val="single" w:color="auto"/>
          <w:color w:val="auto"/>
        </w:rPr>
        <w:t>Crediting Payments</w:t>
      </w:r>
      <w:r>
        <w:rPr>
          <w:rFonts w:ascii="Arial" w:cs="Arial" w:eastAsia="Arial" w:hAnsi="Arial"/>
          <w:sz w:val="16"/>
          <w:szCs w:val="16"/>
          <w:color w:val="auto"/>
        </w:rPr>
        <w:t>. The receipt of any payment item by Agent shall not be required to be considered a payment on account unless such payment item is a wire transfer of immediately available funds in the Applicable Currency made to Agent’s Applicable Account or unless and until such payment item is honored when presented for payment. Should any payment item not be honored when presented for payment, then Borrowers shall be deemed not to have made such payment. Anything to the contrary contained herein notwithstanding, any payment item shall be deemed received by Agent only if it is received into Agent’s Applicable Account on a Business Day on or before 4:30 p.m. (or 4:30 p.m. London time in the case of a payment with respect to the UK Obligations). If any payment item is received into Agent’s Applicable Account on a non-Business Day or after 4:30 p.m. (or 4:30 p.m. London time in the case of a payment with respect to the UK Obligations) on a Business Day (unless Agent, in its sole discretion, elects to credit it on the date received), it shall be deemed to have been received by Agent as of the opening of business on the immediately following Business Day.</w:t>
      </w:r>
    </w:p>
    <w:p>
      <w:pPr>
        <w:spacing w:after="0" w:line="52"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u w:val="single" w:color="auto"/>
          <w:color w:val="auto"/>
        </w:rPr>
        <w:t>Designated Account</w:t>
      </w:r>
      <w:r>
        <w:rPr>
          <w:rFonts w:ascii="Arial" w:cs="Arial" w:eastAsia="Arial" w:hAnsi="Arial"/>
          <w:sz w:val="16"/>
          <w:szCs w:val="16"/>
          <w:color w:val="auto"/>
        </w:rPr>
        <w:t xml:space="preserve">. Agent is authorized to make the Revolving Loans and each Issuing Lender is authorized to issue the Letters of Credit, under this Agreement based upon telephonic or other instructions received from anyone purporting to be an Authorized Person or, without instructions, if pursuant to </w:t>
      </w:r>
      <w:r>
        <w:rPr>
          <w:rFonts w:ascii="Arial" w:cs="Arial" w:eastAsia="Arial" w:hAnsi="Arial"/>
          <w:sz w:val="16"/>
          <w:szCs w:val="16"/>
          <w:u w:val="single" w:color="auto"/>
          <w:color w:val="auto"/>
        </w:rPr>
        <w:t>Section 2.6(d)</w:t>
      </w:r>
      <w:r>
        <w:rPr>
          <w:rFonts w:ascii="Arial" w:cs="Arial" w:eastAsia="Arial" w:hAnsi="Arial"/>
          <w:sz w:val="16"/>
          <w:szCs w:val="16"/>
          <w:color w:val="auto"/>
        </w:rPr>
        <w:t>. US Borrowers agree to establish and maintain the US Designated Account with the US Designated Account Bank, Canadian Borrowers agree to establish and maintain the Canadian Designated Account with the Canadian Designated Bank, and UK Borrowers agree to establish and maintain the UK Designated Account with the UK Designated Account Bank, in each case, for the purpose of receiving the proceeds of the applicable Revolving Loans requested by such Borrower and made by Agent or the applicable Lenders hereunder. Unless otherwise agreed by Agent and Borrowers, any Revolving Loan or Swing Loan requested by Borrowers and made by Agent or the Lenders hereunder shall be made to the applicable Designated Account.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274" w:right="279" w:bottom="1440" w:gutter="0" w:footer="0" w:header="0"/>
        </w:sectPr>
      </w:pPr>
    </w:p>
    <w:bookmarkStart w:id="121" w:name="page122"/>
    <w:bookmarkEnd w:id="12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 </w:t>
      </w:r>
      <w:r>
        <w:rPr>
          <w:rFonts w:ascii="Arial" w:cs="Arial" w:eastAsia="Arial" w:hAnsi="Arial"/>
          <w:sz w:val="16"/>
          <w:szCs w:val="16"/>
          <w:b w:val="1"/>
          <w:bCs w:val="1"/>
          <w:u w:val="single" w:color="auto"/>
          <w:color w:val="auto"/>
        </w:rPr>
        <w:t>Maintenance of Loan Account; Statements of Obligations</w:t>
      </w:r>
      <w:r>
        <w:rPr>
          <w:rFonts w:ascii="Arial" w:cs="Arial" w:eastAsia="Arial" w:hAnsi="Arial"/>
          <w:sz w:val="16"/>
          <w:szCs w:val="16"/>
          <w:color w:val="auto"/>
        </w:rPr>
        <w:t>. Agent shall maintain an account on its books in the name of US Borrowers (the “</w:t>
      </w:r>
      <w:r>
        <w:rPr>
          <w:rFonts w:ascii="Arial" w:cs="Arial" w:eastAsia="Arial" w:hAnsi="Arial"/>
          <w:sz w:val="16"/>
          <w:szCs w:val="16"/>
          <w:u w:val="single" w:color="auto"/>
          <w:color w:val="auto"/>
        </w:rPr>
        <w:t>US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 Account</w:t>
      </w:r>
      <w:r>
        <w:rPr>
          <w:rFonts w:ascii="Arial" w:cs="Arial" w:eastAsia="Arial" w:hAnsi="Arial"/>
          <w:sz w:val="16"/>
          <w:szCs w:val="16"/>
          <w:color w:val="auto"/>
        </w:rPr>
        <w:t>”) on which US Borrowers will be charged with all US Revolving Loans (including US Extraordinary Advances and US Swing Loans) made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Swing Lender, or the Lenders to US Borrowers or for US Borrowers’ account, the US Letters of Credit issued or arranged by Issuing Lender for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Borrowers’ account, and with all other payment US Obligations hereunder or under the other Loan Documents, including, accrued interest, fees and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Lender Group Expenses of US Borrowers with respect thereto. Agent shall maintain an account on its books in the name of Canadian Borrowers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Loan Account</w:t>
      </w:r>
      <w:r>
        <w:rPr>
          <w:rFonts w:ascii="Arial" w:cs="Arial" w:eastAsia="Arial" w:hAnsi="Arial"/>
          <w:sz w:val="16"/>
          <w:szCs w:val="16"/>
          <w:color w:val="auto"/>
        </w:rPr>
        <w:t>”) on which Canadian Borrowers will be charged with all Canadian Revolving Loans (including Canadian Extraordinary Advances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Canadian Swing Loans) made by Agent, Swing Lender, or the Lenders to Canadian Borrowers or for Canadian Borrowers’ account, the Canadian Letters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Credit issued or arranged by Issuing Lender for Canadian Borrowers’ account, and with all other payment Canadian Obligations hereunder or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Loan Documents, including, accrued interest, fees and expenses, and Lender Group Expenses of Canadian Borrowers with respect thereto. Agent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maintain an account on its books in the name of UK Borrowers (the “</w:t>
      </w:r>
      <w:r>
        <w:rPr>
          <w:rFonts w:ascii="Arial" w:cs="Arial" w:eastAsia="Arial" w:hAnsi="Arial"/>
          <w:sz w:val="17"/>
          <w:szCs w:val="17"/>
          <w:u w:val="single" w:color="auto"/>
          <w:color w:val="auto"/>
        </w:rPr>
        <w:t>UK Loan Account</w:t>
      </w:r>
      <w:r>
        <w:rPr>
          <w:rFonts w:ascii="Arial" w:cs="Arial" w:eastAsia="Arial" w:hAnsi="Arial"/>
          <w:sz w:val="17"/>
          <w:szCs w:val="17"/>
          <w:color w:val="auto"/>
        </w:rPr>
        <w:t>”) on which UK Borrowers will be charged with all UK Revolving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Loans (including UK Extraordinary Advances and UK Swing Loans) made by Agent, Swing Lender, or the Lenders to UK Borrowers or for UK Borrowers’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the UK Letters of Credit issued or arranged by Issuing Lender for UK Borrower’s account, and with all other payment UK Obligations hereunder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other Loan Documents, including, accrued interest, fees and expenses, and Lender Group Expenses of UK Borrowers with respect thereto.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accordance with </w:t>
      </w:r>
      <w:r>
        <w:rPr>
          <w:rFonts w:ascii="Arial" w:cs="Arial" w:eastAsia="Arial" w:hAnsi="Arial"/>
          <w:sz w:val="17"/>
          <w:szCs w:val="17"/>
          <w:u w:val="single" w:color="auto"/>
          <w:color w:val="auto"/>
        </w:rPr>
        <w:t>Section 2.7</w:t>
      </w:r>
      <w:r>
        <w:rPr>
          <w:rFonts w:ascii="Arial" w:cs="Arial" w:eastAsia="Arial" w:hAnsi="Arial"/>
          <w:sz w:val="17"/>
          <w:szCs w:val="17"/>
          <w:color w:val="auto"/>
        </w:rPr>
        <w:t>, the applicable Loan Account will be credited with all payments received by Agent from the applicable Borrower or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Borrower’s account. Agent shall make available to Borrowers monthly statements regarding the Loan Accounts, including the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Revolving Loans, interest accrued hereunder, fees accrued or charged hereunder or under the other Loan Documents, and a summary itemization of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charges and expenses constituting Lender Group Expenses accrued hereunder or under the other Loan Documents, and each such statement, absent manifest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error, shall be conclusively presumed to be correct and accurate and constitute an account stated between Borrowers and the Lender Group unless, within 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after Agent first makes such a statement available to Borrowers, Borrowers shall deliver to Agent written objection thereto describing the error or errors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contained in such statement.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right="100" w:firstLine="921"/>
        <w:spacing w:after="0" w:line="282" w:lineRule="auto"/>
        <w:tabs>
          <w:tab w:leader="none" w:pos="1157"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Agent Fees</w:t>
      </w:r>
      <w:r>
        <w:rPr>
          <w:rFonts w:ascii="Arial" w:cs="Arial" w:eastAsia="Arial" w:hAnsi="Arial"/>
          <w:sz w:val="18"/>
          <w:szCs w:val="18"/>
          <w:color w:val="auto"/>
        </w:rPr>
        <w:t>. Borrowers shall pay to Agent, for the account of Agent, as and when due and payable under the terms of the Fee Letter, the fees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Fee Letter.</w:t>
      </w:r>
    </w:p>
    <w:p>
      <w:pPr>
        <w:spacing w:after="0" w:line="53" w:lineRule="exact"/>
        <w:rPr>
          <w:rFonts w:ascii="Arial" w:cs="Arial" w:eastAsia="Arial" w:hAnsi="Arial"/>
          <w:sz w:val="18"/>
          <w:szCs w:val="18"/>
          <w:color w:val="auto"/>
        </w:rPr>
      </w:pPr>
    </w:p>
    <w:p>
      <w:pPr>
        <w:ind w:right="140" w:firstLine="921"/>
        <w:spacing w:after="0" w:line="273" w:lineRule="auto"/>
        <w:tabs>
          <w:tab w:leader="none" w:pos="1168"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Unused Line Fee</w:t>
      </w:r>
      <w:r>
        <w:rPr>
          <w:rFonts w:ascii="Arial" w:cs="Arial" w:eastAsia="Arial" w:hAnsi="Arial"/>
          <w:sz w:val="17"/>
          <w:szCs w:val="17"/>
          <w:color w:val="auto"/>
        </w:rPr>
        <w:t>. US Borrowers shall pay to Agent, for the ratable account of the Revolving Lenders with a US Revolver Commitment, an</w:t>
      </w:r>
      <w:r>
        <w:rPr>
          <w:rFonts w:ascii="Arial" w:cs="Arial" w:eastAsia="Arial" w:hAnsi="Arial"/>
          <w:sz w:val="17"/>
          <w:szCs w:val="17"/>
          <w:b w:val="1"/>
          <w:bCs w:val="1"/>
          <w:color w:val="auto"/>
        </w:rPr>
        <w:t xml:space="preserve"> </w:t>
      </w:r>
      <w:r>
        <w:rPr>
          <w:rFonts w:ascii="Arial" w:cs="Arial" w:eastAsia="Arial" w:hAnsi="Arial"/>
          <w:sz w:val="17"/>
          <w:szCs w:val="17"/>
          <w:color w:val="auto"/>
        </w:rPr>
        <w:t>unused line fee (the “</w:t>
      </w:r>
      <w:r>
        <w:rPr>
          <w:rFonts w:ascii="Arial" w:cs="Arial" w:eastAsia="Arial" w:hAnsi="Arial"/>
          <w:sz w:val="17"/>
          <w:szCs w:val="17"/>
          <w:u w:val="single" w:color="auto"/>
          <w:color w:val="auto"/>
        </w:rPr>
        <w:t>Unused Line Fee</w:t>
      </w:r>
      <w:r>
        <w:rPr>
          <w:rFonts w:ascii="Arial" w:cs="Arial" w:eastAsia="Arial" w:hAnsi="Arial"/>
          <w:sz w:val="17"/>
          <w:szCs w:val="17"/>
          <w:color w:val="auto"/>
        </w:rPr>
        <w:t xml:space="preserve">”) in an amount equal to the Applicable Unused Line Fee Percentage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times the result of (i) the aggregate amount of the US Revolver Commitments,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(ii) the sum of the Average US Revolver Usage (without giving effect to US Swing Loans), the Average UK Revolver Usage (without giving effect to UK Swing Loans) and the Average Canadian Revolver Usage (without giving effect to Canadian Swing Loans) during the immediately preceding month (or portion thereof), which Unused Line Fee shall be due and payable, in arrears, on the first day of each quarter (</w:t>
      </w:r>
      <w:r>
        <w:rPr>
          <w:rFonts w:ascii="Arial" w:cs="Arial" w:eastAsia="Arial" w:hAnsi="Arial"/>
          <w:sz w:val="17"/>
          <w:szCs w:val="17"/>
          <w:u w:val="single" w:color="auto"/>
          <w:color w:val="auto"/>
        </w:rPr>
        <w:t>provided</w:t>
      </w:r>
      <w:r>
        <w:rPr>
          <w:rFonts w:ascii="Arial" w:cs="Arial" w:eastAsia="Arial" w:hAnsi="Arial"/>
          <w:sz w:val="17"/>
          <w:szCs w:val="17"/>
          <w:color w:val="auto"/>
        </w:rPr>
        <w:t>, that if an Event of Default has occurred and is continuing, such Unused Line Fee shall be due and payable, in arrears, on the first day of each month), from and after the Closing Date up to the first day of the quarter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70" w:right="259" w:bottom="1440" w:gutter="0" w:footer="0" w:header="0"/>
        </w:sectPr>
      </w:pPr>
    </w:p>
    <w:bookmarkStart w:id="122" w:name="page123"/>
    <w:bookmarkEnd w:id="122"/>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has occurred and is continuing, such Unused Line Fee shall be due and payable, in arrears, on the first day of each month) prior to the date on which the Obligations are paid in full, and on the date on which the Obligations are paid in full. For the avoidance of doubt, Swing Loans shall not reduce the amount of unused US Revolver Commitments solely for purposes of calculating the Unused Line Fee under this </w:t>
      </w:r>
      <w:r>
        <w:rPr>
          <w:rFonts w:ascii="Arial" w:cs="Arial" w:eastAsia="Arial" w:hAnsi="Arial"/>
          <w:sz w:val="16"/>
          <w:szCs w:val="16"/>
          <w:u w:val="single" w:color="auto"/>
          <w:color w:val="auto"/>
        </w:rPr>
        <w:t>Section 2.10(b)</w:t>
      </w:r>
      <w:r>
        <w:rPr>
          <w:rFonts w:ascii="Arial" w:cs="Arial" w:eastAsia="Arial" w:hAnsi="Arial"/>
          <w:sz w:val="16"/>
          <w:szCs w:val="16"/>
          <w:color w:val="auto"/>
        </w:rPr>
        <w:t>.</w:t>
      </w:r>
    </w:p>
    <w:p>
      <w:pPr>
        <w:spacing w:after="0" w:line="35" w:lineRule="exact"/>
        <w:rPr>
          <w:sz w:val="20"/>
          <w:szCs w:val="20"/>
          <w:color w:val="auto"/>
        </w:rPr>
      </w:pPr>
    </w:p>
    <w:p>
      <w:pPr>
        <w:ind w:right="180" w:firstLine="921"/>
        <w:spacing w:after="0" w:line="258" w:lineRule="auto"/>
        <w:tabs>
          <w:tab w:leader="none" w:pos="1157"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Field Examination and Other Fees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5.7(c)</w:t>
      </w:r>
      <w:r>
        <w:rPr>
          <w:rFonts w:ascii="Arial" w:cs="Arial" w:eastAsia="Arial" w:hAnsi="Arial"/>
          <w:sz w:val="18"/>
          <w:szCs w:val="18"/>
          <w:b w:val="1"/>
          <w:bCs w:val="1"/>
          <w:color w:val="auto"/>
        </w:rPr>
        <w:t xml:space="preserve"> </w:t>
      </w:r>
      <w:r>
        <w:rPr>
          <w:rFonts w:ascii="Arial" w:cs="Arial" w:eastAsia="Arial" w:hAnsi="Arial"/>
          <w:sz w:val="18"/>
          <w:szCs w:val="18"/>
          <w:color w:val="auto"/>
        </w:rPr>
        <w:t>hereof, Borrowers shall pay to Agent, field examination, appraisal,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valuation fees and charges, as and when incurred or chargeable, as follows (i) a fee of $1,000 per day, per examiner,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out-of-pocket expenses (including travel, meals, and lodging) for each field examination of any Loan Party or its Subsidiaries performed by or on behalf of Agent, and (ii) the reasonable fees, charges or expenses paid or incurred by Agent if it elects to employ the services of one or more third Persons to appraise the Collateral, or any portion thereof.</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2.11A </w:t>
      </w:r>
      <w:r>
        <w:rPr>
          <w:rFonts w:ascii="Arial" w:cs="Arial" w:eastAsia="Arial" w:hAnsi="Arial"/>
          <w:sz w:val="18"/>
          <w:szCs w:val="18"/>
          <w:b w:val="1"/>
          <w:bCs w:val="1"/>
          <w:u w:val="single" w:color="auto"/>
          <w:color w:val="auto"/>
        </w:rPr>
        <w:t>US Letters of Credit</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83" w:lineRule="auto"/>
        <w:tabs>
          <w:tab w:leader="none" w:pos="115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upon the request of US Borrowers made in accordance herewith, and prior to the Maturity Date, US Issuing Lender agrees to issue a requested standby US Letter of Credit or a sight commercial US Letter of Credit for the account of US Borrowers or, for US Letters of Credit in an amount not to exceed the Dollar Equivalent of $15,000,000 in the aggregate for all Letters of Credit issued for the account of a Subsidiary that is not a Loan Party, on the account of a Subsidiary of the Parent. By submitting a request to US Issuing Lender for the issuance of a US Letter of Credit, US Borrowers shall be deemed to have requested that a US Issuing Lender issue the requested US Letter of Credit. Each request for the issuance of a US Letter of Credit, or the amendment, renewal, or extension of any outstanding US Letter of Credit, shall be (i) irrevocable and made in writing by an Authorized Person, (ii) delivered to Agent and US Issuing Lender via telefacsimile or other electronic method of transmission reasonably acceptable to Agent and US Issuing Lender and reasonably in advance of the requested date of issuance, amendment, renewal, or extension, and (iii) subject to US Issuing Lender’s authentication procedures with results satisfactory to US Issuing Lender. Each such request shall be in form and substance reasonably satisfactory to Agent and US Issuing Lender and (i) shall specify (A) the amount of such US Letter of Credit, (B) the date of issuance, amendment, renewal, or extension of such US Letter of Credit, (C) the proposed expiration date of such US Letter of Credit, (D) the name and address of the beneficiary of the US Letter of Credit, and (E) such other information (including, the conditions to drawing, and, in the case of an amendment, renewal, or extension, identification of the US Letter of Credit to be so amended, renewed, or extended) as shall be necessary to prepare, amend, renew, or extend such US Letter of Credit, and</w:t>
      </w:r>
    </w:p>
    <w:p>
      <w:pPr>
        <w:spacing w:after="0" w:line="3" w:lineRule="exact"/>
        <w:rPr>
          <w:rFonts w:ascii="Arial" w:cs="Arial" w:eastAsia="Arial" w:hAnsi="Arial"/>
          <w:sz w:val="16"/>
          <w:szCs w:val="16"/>
          <w:color w:val="auto"/>
        </w:rPr>
      </w:pPr>
    </w:p>
    <w:p>
      <w:pPr>
        <w:ind w:right="40" w:firstLine="8"/>
        <w:spacing w:after="0" w:line="252" w:lineRule="auto"/>
        <w:tabs>
          <w:tab w:leader="none" w:pos="2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shall be accompanied by such Issuer Documents as Agent or US Issuing Lender may request or require, to the extent that such requests or requirements are consistent with the Issuer Documents that US Issuing Lender generally requests for US Letters of Credit in similar circumstances. US Issuing Lender’s records of the content of any such request will be conclusive. Anything contained herein to the contrary notwithstanding, US Issuing Lender may, but shall not be obligated to, issue a US Letter of Credit that supports the obligations of a US Loan Party or one of its Subsidiaries in respect of (x) a lease of real property to the extent that the face amount of such US Letter of Credit exceeds the highest rent (including all rent-like charges) payable under such lease for a period of one year, or (y) an employment contract to the extent that the face amount of such US Letter of Credit exceeds the highest compensation payable under such contract for a period of one year.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123" w:name="page124"/>
    <w:bookmarkEnd w:id="123"/>
    <w:p>
      <w:pPr>
        <w:ind w:left="-40" w:right="560" w:firstLine="921"/>
        <w:spacing w:after="0" w:line="277" w:lineRule="auto"/>
        <w:tabs>
          <w:tab w:leader="none" w:pos="11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Issuing Lender shall have no obligation to issue a US Letter of Credit if any of the following would result after giving effect to the requested issuance:</w:t>
      </w:r>
    </w:p>
    <w:p>
      <w:pPr>
        <w:spacing w:after="0" w:line="62" w:lineRule="exact"/>
        <w:rPr>
          <w:rFonts w:ascii="Arial" w:cs="Arial" w:eastAsia="Arial" w:hAnsi="Arial"/>
          <w:sz w:val="18"/>
          <w:szCs w:val="18"/>
          <w:color w:val="auto"/>
        </w:rPr>
      </w:pPr>
    </w:p>
    <w:p>
      <w:pPr>
        <w:ind w:left="-40" w:right="480" w:firstLine="1492"/>
        <w:spacing w:after="0" w:line="277" w:lineRule="auto"/>
        <w:tabs>
          <w:tab w:leader="none" w:pos="16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US Letter of Credit Usage would exceed the Letter of Credit Sublimit minus the Dollar Equivalent of the Canadian Letter of Credit Usage minus the Dollar Equivalent of the UK Letter of Credit Usage, or</w:t>
      </w:r>
    </w:p>
    <w:p>
      <w:pPr>
        <w:spacing w:after="0" w:line="62" w:lineRule="exact"/>
        <w:rPr>
          <w:rFonts w:ascii="Arial" w:cs="Arial" w:eastAsia="Arial" w:hAnsi="Arial"/>
          <w:sz w:val="18"/>
          <w:szCs w:val="18"/>
          <w:color w:val="auto"/>
        </w:rPr>
      </w:pPr>
    </w:p>
    <w:p>
      <w:pPr>
        <w:ind w:left="-40" w:right="260" w:firstLine="1492"/>
        <w:spacing w:after="0" w:line="264" w:lineRule="auto"/>
        <w:tabs>
          <w:tab w:leader="none" w:pos="17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US Letter of Credit Usage would exceed the Maximum Revolver Amount less the sum of the outstanding amount of US Revolving Loans (including US Swing Loans), the Dollar Equivalent of the outstanding UK Revolving Loans (including UK Swing Loans) and the Dollar Equivalent of the outstanding Canadian Revolving Loans (including Canadian Swing Loans) at such time, or</w:t>
      </w:r>
    </w:p>
    <w:p>
      <w:pPr>
        <w:spacing w:after="0" w:line="73" w:lineRule="exact"/>
        <w:rPr>
          <w:rFonts w:ascii="Arial" w:cs="Arial" w:eastAsia="Arial" w:hAnsi="Arial"/>
          <w:sz w:val="18"/>
          <w:szCs w:val="18"/>
          <w:color w:val="auto"/>
        </w:rPr>
      </w:pPr>
    </w:p>
    <w:p>
      <w:pPr>
        <w:ind w:left="-40" w:right="240" w:firstLine="1492"/>
        <w:spacing w:after="0" w:line="277" w:lineRule="auto"/>
        <w:tabs>
          <w:tab w:leader="none" w:pos="17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US Letter of Credit Usage would exceed the US Borrowing Base at such time less the outstanding principal balance of the US Revolving Loans (inclusive of US Swing Loans) at such time.</w:t>
      </w:r>
    </w:p>
    <w:p>
      <w:pPr>
        <w:spacing w:after="0" w:line="62" w:lineRule="exact"/>
        <w:rPr>
          <w:rFonts w:ascii="Arial" w:cs="Arial" w:eastAsia="Arial" w:hAnsi="Arial"/>
          <w:sz w:val="18"/>
          <w:szCs w:val="18"/>
          <w:color w:val="auto"/>
        </w:rPr>
      </w:pPr>
    </w:p>
    <w:p>
      <w:pPr>
        <w:ind w:left="-40" w:firstLine="921"/>
        <w:spacing w:after="0" w:line="269" w:lineRule="auto"/>
        <w:tabs>
          <w:tab w:leader="none" w:pos="111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In the event there is a Defaulting Lender as of the date of any request for the issuance of a US Letter of Credit, US Issuing Lender shall not be required to issue or arrange for such US Letter of Credit to the extent (i) the Defaulting Lender’s US Letter of Credit Exposure with respect to such US Letter of Credit may not be reallocated pursuant to </w:t>
      </w:r>
      <w:r>
        <w:rPr>
          <w:rFonts w:ascii="Arial" w:cs="Arial" w:eastAsia="Arial" w:hAnsi="Arial"/>
          <w:sz w:val="17"/>
          <w:szCs w:val="17"/>
          <w:u w:val="single" w:color="auto"/>
          <w:color w:val="auto"/>
        </w:rPr>
        <w:t>Section 2.3(g)(ii)</w:t>
      </w:r>
      <w:r>
        <w:rPr>
          <w:rFonts w:ascii="Arial" w:cs="Arial" w:eastAsia="Arial" w:hAnsi="Arial"/>
          <w:sz w:val="17"/>
          <w:szCs w:val="17"/>
          <w:color w:val="auto"/>
        </w:rPr>
        <w:t xml:space="preserve">, or (ii) US Issuing Lender has not otherwise entered into arrangements reasonably satisfactory to it and US Borrowers to eliminate US Issuing Lender’s risk with respect to the participation in such US Letter of Credit of the Defaulting Lender, which arrangements may include US Borrowers cash collateralizing such Defaulting Lender’s US Letter of Credit Exposure in accordance with </w:t>
      </w:r>
      <w:r>
        <w:rPr>
          <w:rFonts w:ascii="Arial" w:cs="Arial" w:eastAsia="Arial" w:hAnsi="Arial"/>
          <w:sz w:val="17"/>
          <w:szCs w:val="17"/>
          <w:u w:val="single" w:color="auto"/>
          <w:color w:val="auto"/>
        </w:rPr>
        <w:t>Section 2.3(g)(ii)</w:t>
      </w:r>
      <w:r>
        <w:rPr>
          <w:rFonts w:ascii="Arial" w:cs="Arial" w:eastAsia="Arial" w:hAnsi="Arial"/>
          <w:sz w:val="17"/>
          <w:szCs w:val="17"/>
          <w:color w:val="auto"/>
        </w:rPr>
        <w:t>. Additionally, US Issuing Lender shall have no obligation to issue or extend a US Letter of Credit if (A) any order, judgment, or decree of any Governmental Authority or arbitrator shall, by its terms, purport to enjoin or restrain US Issuing Lender from issuing such US Letter of Credit, or any law applicable to US Issuing Lender or any request or directive (whether or not having the force of law) from any Governmental Authority with jurisdiction over US Issuing Lender shall prohibit or request that US Issuing Lender refrain from the issuance of letters of credit generally or such US Letter of Credit in particular, (B) the issuance of such US Letter of Credit would violate one or more policies of US Issuing Lender applicable to letters of credit generally, or (C) amounts demanded to be paid under any US Letter of Credit will not or may not be in an Agreed L/C Currency.</w:t>
      </w:r>
    </w:p>
    <w:p>
      <w:pPr>
        <w:spacing w:after="0" w:line="74" w:lineRule="exact"/>
        <w:rPr>
          <w:rFonts w:ascii="Arial" w:cs="Arial" w:eastAsia="Arial" w:hAnsi="Arial"/>
          <w:sz w:val="17"/>
          <w:szCs w:val="17"/>
          <w:color w:val="auto"/>
        </w:rPr>
      </w:pPr>
    </w:p>
    <w:p>
      <w:pPr>
        <w:ind w:left="-40" w:right="100" w:firstLine="921"/>
        <w:spacing w:after="0" w:line="276" w:lineRule="auto"/>
        <w:tabs>
          <w:tab w:leader="none" w:pos="11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US Issuing Lender (other than Wells Fargo or any of its Affiliates) shall notify Agent in writing no later than the Business Day prior to the Business Day on which such US Issuing Lender issues any US Letter of Credit. In addition, each US Issuing Lender (other than Wells Fargo or any of its Affiliates) shall, on the first Business Day of each week, submit to Agent a report detailing the daily undrawn amount of each US Letter of Credit issued by such US Issuing Lender during the prior calendar week. US Borrowers and the Lender Group hereby acknowledge and agree that all Existing Letters of Credit shall constitute US Letters of Credit under this Agreement on and after the Closing Date with the same effect as if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80" w:top="274" w:right="259" w:bottom="1440" w:gutter="0" w:footer="0" w:header="0"/>
        </w:sectPr>
      </w:pPr>
    </w:p>
    <w:bookmarkStart w:id="124" w:name="page125"/>
    <w:bookmarkEnd w:id="12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Existing Letters of Credit were issued by US Issuing Lender at the request of US Borrowers on the Closing Date. Each US Letter of Credit shall be in form and substance reasonably acceptable to US Issuing Lender, including the requirement that the amounts payable thereunder must be payable in an Agreed L/C Currency. If US Issuing Lender makes a payment under a US Letter of Credit, US Borrowers shall pay to Agent an amount equal to the applicable US Letter of Credit Disbursement on the Business Day such US Letter of Credit Disbursement is made and, in the absence of such payment, the amount of the US Letter of Credit Disbursement immediately and automatically shall be deemed to be a US Revolving Loan hereunder (notwithstanding any failure to satisfy any condition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initially, shall bear interest at the rate then applicable to US Revolving Loans that are Base Rate Loans. If a US Letter of Credit Disbursement is deemed to be a US Revolving Loan hereunder, US Borrowers’ obligation to pay the amount of such US Letter of Credit Disbursement to US Issuing Lender shall be automatically converted into an obligation to pay the resulting US Revolving Loan. Promptly following receipt by Agent of any payment from US Borrowers pursuant to this paragraph, Agent shall distribute such payment to US Issuing Lender or, to the extent that any Revolving Lenders have made payments pursuant to </w:t>
      </w:r>
      <w:r>
        <w:rPr>
          <w:rFonts w:ascii="Arial" w:cs="Arial" w:eastAsia="Arial" w:hAnsi="Arial"/>
          <w:sz w:val="17"/>
          <w:szCs w:val="17"/>
          <w:u w:val="single" w:color="auto"/>
          <w:color w:val="auto"/>
        </w:rPr>
        <w:t>Section 2.11A(e)</w:t>
      </w:r>
      <w:r>
        <w:rPr>
          <w:rFonts w:ascii="Arial" w:cs="Arial" w:eastAsia="Arial" w:hAnsi="Arial"/>
          <w:sz w:val="17"/>
          <w:szCs w:val="17"/>
          <w:color w:val="auto"/>
        </w:rPr>
        <w:t xml:space="preserve"> to reimburse US Issuing Lender, then to such Revolving Lenders and US Issuing Lender as their interests may appear.</w:t>
      </w:r>
    </w:p>
    <w:p>
      <w:pPr>
        <w:spacing w:after="0" w:line="183" w:lineRule="exact"/>
        <w:rPr>
          <w:sz w:val="20"/>
          <w:szCs w:val="20"/>
          <w:color w:val="auto"/>
        </w:rPr>
      </w:pPr>
    </w:p>
    <w:p>
      <w:pPr>
        <w:ind w:firstLine="921"/>
        <w:spacing w:after="0" w:line="267" w:lineRule="auto"/>
        <w:tabs>
          <w:tab w:leader="none" w:pos="115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Promptly following receipt of a notice of a US Letter of Credit Disbursement pursuant to </w:t>
      </w:r>
      <w:r>
        <w:rPr>
          <w:rFonts w:ascii="Arial" w:cs="Arial" w:eastAsia="Arial" w:hAnsi="Arial"/>
          <w:sz w:val="17"/>
          <w:szCs w:val="17"/>
          <w:u w:val="single" w:color="auto"/>
          <w:color w:val="auto"/>
        </w:rPr>
        <w:t>Section 2.11A(d)</w:t>
      </w:r>
      <w:r>
        <w:rPr>
          <w:rFonts w:ascii="Arial" w:cs="Arial" w:eastAsia="Arial" w:hAnsi="Arial"/>
          <w:sz w:val="17"/>
          <w:szCs w:val="17"/>
          <w:color w:val="auto"/>
        </w:rPr>
        <w:t xml:space="preserve">, each Revolving Lender agrees to fund its Pro Rata Share of any US Revolving Loan deemed made pursuant to </w:t>
      </w:r>
      <w:r>
        <w:rPr>
          <w:rFonts w:ascii="Arial" w:cs="Arial" w:eastAsia="Arial" w:hAnsi="Arial"/>
          <w:sz w:val="17"/>
          <w:szCs w:val="17"/>
          <w:u w:val="single" w:color="auto"/>
          <w:color w:val="auto"/>
        </w:rPr>
        <w:t>Section 2.11A(d)</w:t>
      </w:r>
      <w:r>
        <w:rPr>
          <w:rFonts w:ascii="Arial" w:cs="Arial" w:eastAsia="Arial" w:hAnsi="Arial"/>
          <w:sz w:val="17"/>
          <w:szCs w:val="17"/>
          <w:color w:val="auto"/>
        </w:rPr>
        <w:t xml:space="preserve"> on the same terms and conditions as if US Borrowers had requested the amount thereof as a US Revolving Loan and Agent shall promptly pay to US Issuing Lender the amounts so received by it from the Revolving Lenders. By the issuance of a US Letter of Credit (or an amendment, renewal, or extension of a US Letter of Credit) and without any further action on the part of US Issuing Lender or the Revolving Lenders, US Issuing Lender shall be deemed to have granted to each Revolving Lender with a US Revolver Commitment, and each Revolving Lender with a US Revolver Commitment shall be deemed to have purchased, a participation in each US Letter of Credit issued by US Issuing Lender, in an amount equal to its Pro Rata Share of such US Letter of Credit, and each such Revolving Lender agrees to pay to Agent, for the account of US Issuing Lender, such Revolving Lender’s Pro Rata Share of any US Letter of Credit Disbursement made by US Issuing Lender under the applicable US Letter of Credit. In consideration and in furtherance of the foregoing, each Revolving Lender with a US Revolver Commitment hereby absolutely and unconditionally agrees to pay to Agent, for the account of US Issuing Lender, such Revolving Lender’s Pro Rata Share of each US Letter of Credit Disbursement made by US Issuing Lender and not reimbursed by US Borrowers on the date due as provided in </w:t>
      </w:r>
      <w:r>
        <w:rPr>
          <w:rFonts w:ascii="Arial" w:cs="Arial" w:eastAsia="Arial" w:hAnsi="Arial"/>
          <w:sz w:val="17"/>
          <w:szCs w:val="17"/>
          <w:u w:val="single" w:color="auto"/>
          <w:color w:val="auto"/>
        </w:rPr>
        <w:t>Section 2.11A(d)</w:t>
      </w:r>
      <w:r>
        <w:rPr>
          <w:rFonts w:ascii="Arial" w:cs="Arial" w:eastAsia="Arial" w:hAnsi="Arial"/>
          <w:sz w:val="17"/>
          <w:szCs w:val="17"/>
          <w:color w:val="auto"/>
        </w:rPr>
        <w:t xml:space="preserve">, or of any reimbursement payment that is required to be refunded (or that Agent or US Issuing Lender elects, based upon the advice of counsel, to refund) to US Borrowers for any reason. Each Revolving Lender acknowledges and agrees that its obligation to deliver to Agent, for the account of US Issuing Lender, an amount equal to its respective Pro Rata Share of each US Letter of Credit Disbursement pursuant to this </w:t>
      </w:r>
      <w:r>
        <w:rPr>
          <w:rFonts w:ascii="Arial" w:cs="Arial" w:eastAsia="Arial" w:hAnsi="Arial"/>
          <w:sz w:val="17"/>
          <w:szCs w:val="17"/>
          <w:u w:val="single" w:color="auto"/>
          <w:color w:val="auto"/>
        </w:rPr>
        <w:t>Section 2.11A(e)</w:t>
      </w:r>
      <w:r>
        <w:rPr>
          <w:rFonts w:ascii="Arial" w:cs="Arial" w:eastAsia="Arial" w:hAnsi="Arial"/>
          <w:sz w:val="17"/>
          <w:szCs w:val="17"/>
          <w:color w:val="auto"/>
        </w:rPr>
        <w:t xml:space="preserve"> shall be absolute and unconditional and such remittance shall be made notwithstanding the occurrence or continuation of an Event of Default or Default or the failure to satisfy any condition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If any such Revolving Lender fails to make available to Agent the amount of such Revolving Lender’s Pro Rata Share of a US Letter of Credit Disbursement as provided in this Section, such Revolving Lender shall be deemed to be a Defaulting Lender and Agent (for the account of US Issuing Lender) shall be entitled to recover such amount on demand from such Revolving Lender together with interest thereon at the Defaulting Lender Rate until paid in full.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125" w:name="page126"/>
    <w:bookmarkEnd w:id="125"/>
    <w:p>
      <w:pPr>
        <w:ind w:firstLine="921"/>
        <w:spacing w:after="0" w:line="277" w:lineRule="auto"/>
        <w:tabs>
          <w:tab w:leader="none" w:pos="1138"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Borrowers agree to indemnify, defend and hold harmless each Letter of Credit Related Person (to the fullest extent permitted by law) from and against any Letter of Credit Indemnified Costs, and which arise out of or in connection with, or as a result of:</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US Letter of Credit or any pre-advice of its issuance;</w:t>
      </w:r>
    </w:p>
    <w:p>
      <w:pPr>
        <w:spacing w:after="0" w:line="117" w:lineRule="exact"/>
        <w:rPr>
          <w:rFonts w:ascii="Arial" w:cs="Arial" w:eastAsia="Arial" w:hAnsi="Arial"/>
          <w:sz w:val="18"/>
          <w:szCs w:val="18"/>
          <w:color w:val="auto"/>
        </w:rPr>
      </w:pPr>
    </w:p>
    <w:p>
      <w:pPr>
        <w:ind w:right="340" w:firstLine="1492"/>
        <w:spacing w:after="0" w:line="277" w:lineRule="auto"/>
        <w:tabs>
          <w:tab w:leader="none" w:pos="174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transfer, sale, delivery, surrender or endorsement (or lack thereof) of any Drawing Document at any time(s) held by any such Letter of Credit Related Person in connection with any US Letter of Credit;</w:t>
      </w:r>
    </w:p>
    <w:p>
      <w:pPr>
        <w:spacing w:after="0" w:line="62" w:lineRule="exact"/>
        <w:rPr>
          <w:rFonts w:ascii="Arial" w:cs="Arial" w:eastAsia="Arial" w:hAnsi="Arial"/>
          <w:sz w:val="18"/>
          <w:szCs w:val="18"/>
          <w:color w:val="auto"/>
        </w:rPr>
      </w:pPr>
    </w:p>
    <w:p>
      <w:pPr>
        <w:ind w:right="180" w:firstLine="1492"/>
        <w:spacing w:after="0" w:line="264" w:lineRule="auto"/>
        <w:tabs>
          <w:tab w:leader="none" w:pos="179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action or proceeding arising out of, or in connection with, any US Letter of Credit (whether administrative, judicial or in connection with arbitration), including any action or proceeding to compel or restrain any presentation or payment under any US Letter of Credit, or for the wrongful dishonor of, or honoring a presentation under, any US Letter of Credit;</w:t>
      </w:r>
    </w:p>
    <w:p>
      <w:pPr>
        <w:spacing w:after="0" w:line="73" w:lineRule="exact"/>
        <w:rPr>
          <w:rFonts w:ascii="Arial" w:cs="Arial" w:eastAsia="Arial" w:hAnsi="Arial"/>
          <w:sz w:val="18"/>
          <w:szCs w:val="18"/>
          <w:color w:val="auto"/>
        </w:rPr>
      </w:pPr>
    </w:p>
    <w:p>
      <w:pPr>
        <w:ind w:left="1800" w:hanging="308"/>
        <w:spacing w:after="0"/>
        <w:tabs>
          <w:tab w:leader="none" w:pos="18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independent undertakings issued by the beneficiary of any US Letter of Credit;</w:t>
      </w:r>
    </w:p>
    <w:p>
      <w:pPr>
        <w:spacing w:after="0" w:line="117" w:lineRule="exact"/>
        <w:rPr>
          <w:rFonts w:ascii="Arial" w:cs="Arial" w:eastAsia="Arial" w:hAnsi="Arial"/>
          <w:sz w:val="18"/>
          <w:szCs w:val="18"/>
          <w:color w:val="auto"/>
        </w:rPr>
      </w:pPr>
    </w:p>
    <w:p>
      <w:pPr>
        <w:jc w:val="both"/>
        <w:ind w:firstLine="1492"/>
        <w:spacing w:after="0" w:line="264" w:lineRule="auto"/>
        <w:tabs>
          <w:tab w:leader="none" w:pos="173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unauthorized instruction or request made to US Issuing Lender in connection with any US Letter of Credit or requested US Letter of Credit, or any error, omission, interruption or delay in such instruction or request, whether transmitted by mail, courier, electronic transmission, SWIFT, or any other telecommunication including communications through a correspondent;</w:t>
      </w:r>
    </w:p>
    <w:p>
      <w:pPr>
        <w:spacing w:after="0" w:line="73" w:lineRule="exact"/>
        <w:rPr>
          <w:rFonts w:ascii="Arial" w:cs="Arial" w:eastAsia="Arial" w:hAnsi="Arial"/>
          <w:sz w:val="18"/>
          <w:szCs w:val="18"/>
          <w:color w:val="auto"/>
        </w:rPr>
      </w:pPr>
    </w:p>
    <w:p>
      <w:pPr>
        <w:ind w:left="1800" w:hanging="308"/>
        <w:spacing w:after="0"/>
        <w:tabs>
          <w:tab w:leader="none" w:pos="18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an adviser, confirmer or other nominated person seeking to be reimbursed, indemnified or compensated in connection with any 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 of Credit;</w:t>
      </w:r>
    </w:p>
    <w:p>
      <w:pPr>
        <w:spacing w:after="0" w:line="102" w:lineRule="exact"/>
        <w:rPr>
          <w:rFonts w:ascii="Arial" w:cs="Arial" w:eastAsia="Arial" w:hAnsi="Arial"/>
          <w:sz w:val="16"/>
          <w:szCs w:val="16"/>
          <w:color w:val="auto"/>
        </w:rPr>
      </w:pPr>
    </w:p>
    <w:p>
      <w:pPr>
        <w:ind w:right="380" w:firstLine="1492"/>
        <w:spacing w:after="0" w:line="277" w:lineRule="auto"/>
        <w:tabs>
          <w:tab w:leader="none" w:pos="183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third party seeking to enforce the rights of an applicant, beneficiary, nominated person, transferee, assignee of US Letter of Credit proceeds or holder of an instrument or document;</w:t>
      </w:r>
    </w:p>
    <w:p>
      <w:pPr>
        <w:spacing w:after="0" w:line="62" w:lineRule="exact"/>
        <w:rPr>
          <w:rFonts w:ascii="Arial" w:cs="Arial" w:eastAsia="Arial" w:hAnsi="Arial"/>
          <w:sz w:val="18"/>
          <w:szCs w:val="18"/>
          <w:color w:val="auto"/>
        </w:rPr>
      </w:pPr>
    </w:p>
    <w:p>
      <w:pPr>
        <w:ind w:left="1900" w:hanging="408"/>
        <w:spacing w:after="0"/>
        <w:tabs>
          <w:tab w:leader="none" w:pos="19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fraud, forgery or illegal action of parties in connection with a US Letter of Credit other than the Letter of Credit Related Person;</w:t>
      </w:r>
    </w:p>
    <w:p>
      <w:pPr>
        <w:spacing w:after="0" w:line="140" w:lineRule="exact"/>
        <w:rPr>
          <w:rFonts w:ascii="Arial" w:cs="Arial" w:eastAsia="Arial" w:hAnsi="Arial"/>
          <w:sz w:val="16"/>
          <w:szCs w:val="16"/>
          <w:color w:val="auto"/>
        </w:rPr>
      </w:pPr>
    </w:p>
    <w:p>
      <w:pPr>
        <w:ind w:right="680" w:firstLine="1492"/>
        <w:spacing w:after="0" w:line="277" w:lineRule="auto"/>
        <w:tabs>
          <w:tab w:leader="none" w:pos="178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prohibition on payment or delay in payment of any amount payable by US Issuing Lender to a beneficiary or transferee beneficiary of a US Letter of Credit arising out of Anti-Corruption Laws, Anti-Money Laundering Laws, or Sanctions;</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US Issuing Lender’s performance of the obligations of a confirming institution or entity that wrongfully dishonors a confirmation;</w:t>
      </w:r>
    </w:p>
    <w:p>
      <w:pPr>
        <w:spacing w:after="0" w:line="128" w:lineRule="exact"/>
        <w:rPr>
          <w:rFonts w:ascii="Arial" w:cs="Arial" w:eastAsia="Arial" w:hAnsi="Arial"/>
          <w:sz w:val="17"/>
          <w:szCs w:val="17"/>
          <w:color w:val="auto"/>
        </w:rPr>
      </w:pPr>
    </w:p>
    <w:p>
      <w:pPr>
        <w:ind w:left="1800" w:hanging="308"/>
        <w:spacing w:after="0"/>
        <w:tabs>
          <w:tab w:leader="none" w:pos="18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foreign language translation provided to US Issuing Lender in connection with any US Letter of Credit;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74" w:right="279" w:bottom="1440" w:gutter="0" w:footer="0" w:header="0"/>
        </w:sectPr>
      </w:pPr>
    </w:p>
    <w:bookmarkStart w:id="126" w:name="page127"/>
    <w:bookmarkEnd w:id="126"/>
    <w:p>
      <w:pPr>
        <w:ind w:right="20" w:firstLine="1492"/>
        <w:spacing w:after="0" w:line="264" w:lineRule="auto"/>
        <w:tabs>
          <w:tab w:leader="none" w:pos="18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law or usage as it relates to US Issuing Lender’s issuance of a US Letter of Credit in support of a foreign guaranty including without limitation the expiration of such guaranty after the related US Letter of Credit expiration date and any resulting drawing paid by US Issuing Lender in connection therewith; or</w:t>
      </w:r>
    </w:p>
    <w:p>
      <w:pPr>
        <w:spacing w:after="0" w:line="73" w:lineRule="exact"/>
        <w:rPr>
          <w:rFonts w:ascii="Arial" w:cs="Arial" w:eastAsia="Arial" w:hAnsi="Arial"/>
          <w:sz w:val="18"/>
          <w:szCs w:val="18"/>
          <w:color w:val="auto"/>
        </w:rPr>
      </w:pPr>
    </w:p>
    <w:p>
      <w:pPr>
        <w:ind w:firstLine="1492"/>
        <w:spacing w:after="0" w:line="277" w:lineRule="auto"/>
        <w:tabs>
          <w:tab w:leader="none" w:pos="188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acts or omissions, whether rightful or wrongful, of any present or future de jure or de facto governmental or regulatory authority or cause or event beyond the control of the Letter of Credit Related Person related to a US Letter of Credit;</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bad faith or willful misconduct of the Letter of Credit Related Person claiming indemnity. US Borrowers hereby agree to pay the Letter of Credit Related Person claiming indemnity on demand from time to time all amounts owing under this </w:t>
      </w:r>
      <w:r>
        <w:rPr>
          <w:rFonts w:ascii="Arial" w:cs="Arial" w:eastAsia="Arial" w:hAnsi="Arial"/>
          <w:sz w:val="18"/>
          <w:szCs w:val="18"/>
          <w:u w:val="single" w:color="auto"/>
          <w:color w:val="auto"/>
        </w:rPr>
        <w:t>Section 2.11A(f)</w:t>
      </w:r>
      <w:r>
        <w:rPr>
          <w:rFonts w:ascii="Arial" w:cs="Arial" w:eastAsia="Arial" w:hAnsi="Arial"/>
          <w:sz w:val="18"/>
          <w:szCs w:val="18"/>
          <w:color w:val="auto"/>
        </w:rPr>
        <w:t xml:space="preserve">. If and to the extent that the obligations of US Borrowers under this </w:t>
      </w:r>
      <w:r>
        <w:rPr>
          <w:rFonts w:ascii="Arial" w:cs="Arial" w:eastAsia="Arial" w:hAnsi="Arial"/>
          <w:sz w:val="18"/>
          <w:szCs w:val="18"/>
          <w:u w:val="single" w:color="auto"/>
          <w:color w:val="auto"/>
        </w:rPr>
        <w:t>Section 2.11A(f)</w:t>
      </w:r>
      <w:r>
        <w:rPr>
          <w:rFonts w:ascii="Arial" w:cs="Arial" w:eastAsia="Arial" w:hAnsi="Arial"/>
          <w:sz w:val="18"/>
          <w:szCs w:val="18"/>
          <w:color w:val="auto"/>
        </w:rPr>
        <w:t xml:space="preserve"> are unenforceable for any reason, US Borrowers agree to make the maximum contribution to the Letter of Credit Indemnified Costs permissible under applicable law. This indemnification provision shall survive termination of this Agreement and all US Letters of Credit.</w:t>
      </w:r>
    </w:p>
    <w:p>
      <w:pPr>
        <w:spacing w:after="0" w:line="81" w:lineRule="exact"/>
        <w:rPr>
          <w:sz w:val="20"/>
          <w:szCs w:val="20"/>
          <w:color w:val="auto"/>
        </w:rPr>
      </w:pPr>
    </w:p>
    <w:p>
      <w:pPr>
        <w:ind w:right="60" w:firstLine="921"/>
        <w:spacing w:after="0" w:line="268" w:lineRule="auto"/>
        <w:tabs>
          <w:tab w:leader="none" w:pos="116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The liability of US Issuing Lender (or any other Letter of Credit Related Person) under, in connection with or arising out of any US Letter of Credit (or pre-advice), regardless of the form or legal grounds of the action or proceeding, shall be limited to direct damages suffered by US Borrowers that are caused by US Issuing Lender’s gross negligence, bad faith or willful misconduct in (i) honoring a presentation under a US Letter of Credit that on its face does not at least substantially comply with the terms and conditions of such US Letter of Credit, (ii) failing to honor a presentation under a US Letter of Credit that strictly complies with the terms and conditions of such US Letter of Credit or (iii) retaining Drawing Documents presented under a US Letter of Credit. US Borrowers’ aggregate remedies against US Issuing Lender and any US Letter of Credit Related Person for wrongfully honoring a presentation under any US Letter of Credit or wrongfully retaining honored Drawing Documents shall in no event exceed the aggregate amount paid by US Borrowers to US Issuing Lender in respect of the honored presentation in connection with such US Letter of Credit under </w:t>
      </w:r>
      <w:r>
        <w:rPr>
          <w:rFonts w:ascii="Arial" w:cs="Arial" w:eastAsia="Arial" w:hAnsi="Arial"/>
          <w:sz w:val="17"/>
          <w:szCs w:val="17"/>
          <w:u w:val="single" w:color="auto"/>
          <w:color w:val="auto"/>
        </w:rPr>
        <w:t>Section 2.11A(d)</w:t>
      </w:r>
      <w:r>
        <w:rPr>
          <w:rFonts w:ascii="Arial" w:cs="Arial" w:eastAsia="Arial" w:hAnsi="Arial"/>
          <w:sz w:val="17"/>
          <w:szCs w:val="17"/>
          <w:color w:val="auto"/>
        </w:rPr>
        <w:t>, plus interest at the rate then applicable to US Revolving Loans that are Base Rate Loans hereunder. US Borrowers shall take action to avoid and mitigate the amount of any damages claimed against US Issuing Lender or any other US Letter of Credit Related Person, including by enforcing its rights against the beneficiaries of the US Letters of Credit. Any claim by US Borrowers under or in connection with any US Letter of Credit shall be reduced by an amount equal to the sum of (x) the amount (if any) saved by US Borrowers as a result of the breach or alleged wrongful conduct complained of, and (y) the amount (if any) of the loss that would have been avoided had US Borrowers taken all reasonable steps to mitigate any loss, and in case of a claim of wrongful dishonor, by specifically and timely authorizing US Issuing Lender to effect a cure.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74" w:right="259" w:bottom="1440" w:gutter="0" w:footer="0" w:header="0"/>
        </w:sectPr>
      </w:pPr>
    </w:p>
    <w:bookmarkStart w:id="127" w:name="page128"/>
    <w:bookmarkEnd w:id="127"/>
    <w:p>
      <w:pPr>
        <w:ind w:left="-8" w:right="20" w:firstLine="921"/>
        <w:spacing w:after="0" w:line="283" w:lineRule="auto"/>
        <w:tabs>
          <w:tab w:leader="none" w:pos="11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Borrowers are responsible for the final text of the US Letter of Credit as issued by US Issuing Lender, irrespective of any assistance US Issuing Lender may provide such as drafting or recommending text or by US Issuing Lender’s use or refusal to use text submitted by US Borrowers. US Borrowers understand that the final form of any US Letter of Credit may be subject to such revisions and changes as are deemed necessary or appropriate by US Issuing Lender, and US Borrowers hereby consent to such revisions and changes not materially different from the application executed in connection therewith. US Borrowers are solely responsible for the suitability of the US Letter of Credit for US Borrowers’ purposes. If US Borrowers request US Issuing Lender to issue a US Letter of Credit for an affiliated or unaffiliated third party (a “</w:t>
      </w:r>
      <w:r>
        <w:rPr>
          <w:rFonts w:ascii="Arial" w:cs="Arial" w:eastAsia="Arial" w:hAnsi="Arial"/>
          <w:sz w:val="16"/>
          <w:szCs w:val="16"/>
          <w:u w:val="single" w:color="auto"/>
          <w:color w:val="auto"/>
        </w:rPr>
        <w:t>Account Party</w:t>
      </w:r>
      <w:r>
        <w:rPr>
          <w:rFonts w:ascii="Arial" w:cs="Arial" w:eastAsia="Arial" w:hAnsi="Arial"/>
          <w:sz w:val="16"/>
          <w:szCs w:val="16"/>
          <w:color w:val="auto"/>
        </w:rPr>
        <w:t>”), (i) such Account Party shall have no rights against US Issuing Lender; (ii) US Borrowers shall be responsible for the application and obligations under this Agreement; and (iii) communications (including notices) related to the respective US Letter of Credit shall be among US Issuing Lender and US Borrowers. US Borrowers will examine the copy of the US Letter of Credit and any other documents sent by US Issuing Lender in connection therewith and shall promptly notify US Issuing Lender (not later than three</w:t>
      </w:r>
    </w:p>
    <w:p>
      <w:pPr>
        <w:spacing w:after="0" w:line="6" w:lineRule="exact"/>
        <w:rPr>
          <w:rFonts w:ascii="Arial" w:cs="Arial" w:eastAsia="Arial" w:hAnsi="Arial"/>
          <w:sz w:val="16"/>
          <w:szCs w:val="16"/>
          <w:color w:val="auto"/>
        </w:rPr>
      </w:pPr>
    </w:p>
    <w:p>
      <w:pPr>
        <w:ind w:left="-8" w:right="60" w:firstLine="8"/>
        <w:spacing w:after="0" w:line="269" w:lineRule="auto"/>
        <w:tabs>
          <w:tab w:leader="none" w:pos="24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Business Days following US Borrowers’ receipt of documents from US Issuing Lender) of any non-compliance with US Borrowers’ instructions and of any discrepancy in any document under any presentment or other irregularity. US Borrowers understand and agree that US Issuing Lender is not required to extend the expiration date of any US Letter of Credit for any reason. With respect to any US Letter of Credit containing an “automatic amendment” to extend the expiration date of such US Letter of Credit, US Issuing Lender, in its sole and absolute discretion, may give notice of nonrenewal of such US Letter of Credit and, if US Borrowers do not at any time want the then current expiration date of such US Letter of Credit to be extended, US Borrowers will so notify Agent and US Issuing Lender at least 30 calendar days before US Issuing Lender is required to notify the beneficiary of such US Letter of Credit or any advising bank of such non-extension pursuant to the terms of such US Letter of Credit.</w:t>
      </w:r>
    </w:p>
    <w:p>
      <w:pPr>
        <w:spacing w:after="0" w:line="72" w:lineRule="exact"/>
        <w:rPr>
          <w:rFonts w:ascii="Arial" w:cs="Arial" w:eastAsia="Arial" w:hAnsi="Arial"/>
          <w:sz w:val="17"/>
          <w:szCs w:val="17"/>
          <w:color w:val="auto"/>
        </w:rPr>
      </w:pPr>
    </w:p>
    <w:p>
      <w:pPr>
        <w:ind w:left="-8" w:right="340" w:firstLine="921"/>
        <w:spacing w:after="0" w:line="277" w:lineRule="auto"/>
        <w:tabs>
          <w:tab w:leader="none" w:pos="11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US Borrowers’ reimbursement and payment obligations under this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are absolute, unconditional and irrevocable and shall be performed strictly in accordance with the terms of this Agreement under any and all circumstances whatsoever, including:</w:t>
      </w:r>
    </w:p>
    <w:p>
      <w:pPr>
        <w:spacing w:after="0" w:line="62" w:lineRule="exact"/>
        <w:rPr>
          <w:rFonts w:ascii="Arial" w:cs="Arial" w:eastAsia="Arial" w:hAnsi="Arial"/>
          <w:sz w:val="18"/>
          <w:szCs w:val="18"/>
          <w:color w:val="auto"/>
        </w:rPr>
      </w:pPr>
    </w:p>
    <w:p>
      <w:pPr>
        <w:ind w:left="-8" w:right="520" w:firstLine="1492"/>
        <w:spacing w:after="0" w:line="277" w:lineRule="auto"/>
        <w:tabs>
          <w:tab w:leader="none" w:pos="169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any lack of validity, enforceability or legal effect of any US Letter of Credit, any Issuer Document, this Agreement or any Loan Document or any term or provision therein or herein;</w:t>
      </w:r>
    </w:p>
    <w:p>
      <w:pPr>
        <w:spacing w:after="0" w:line="62" w:lineRule="exact"/>
        <w:rPr>
          <w:rFonts w:ascii="Arial" w:cs="Arial" w:eastAsia="Arial" w:hAnsi="Arial"/>
          <w:sz w:val="18"/>
          <w:szCs w:val="18"/>
          <w:color w:val="auto"/>
        </w:rPr>
      </w:pPr>
    </w:p>
    <w:p>
      <w:pPr>
        <w:jc w:val="both"/>
        <w:ind w:left="-8" w:firstLine="1492"/>
        <w:spacing w:after="0" w:line="259" w:lineRule="auto"/>
        <w:tabs>
          <w:tab w:leader="none" w:pos="174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payment against presentation of any draft, demand or claim for payment under any Drawing Document that does not comply in whole or in part with the terms of the applicable US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US Letter of Credit;</w:t>
      </w:r>
    </w:p>
    <w:p>
      <w:pPr>
        <w:spacing w:after="0" w:line="78" w:lineRule="exact"/>
        <w:rPr>
          <w:rFonts w:ascii="Arial" w:cs="Arial" w:eastAsia="Arial" w:hAnsi="Arial"/>
          <w:sz w:val="18"/>
          <w:szCs w:val="18"/>
          <w:color w:val="auto"/>
        </w:rPr>
      </w:pPr>
    </w:p>
    <w:p>
      <w:pPr>
        <w:ind w:left="1792" w:hanging="308"/>
        <w:spacing w:after="0"/>
        <w:tabs>
          <w:tab w:leader="none" w:pos="179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US Issuing Lender or any of its branches or Affiliates being the beneficiary of any US Letter of Credit;</w:t>
      </w:r>
    </w:p>
    <w:p>
      <w:pPr>
        <w:spacing w:after="0" w:line="117" w:lineRule="exact"/>
        <w:rPr>
          <w:rFonts w:ascii="Arial" w:cs="Arial" w:eastAsia="Arial" w:hAnsi="Arial"/>
          <w:sz w:val="18"/>
          <w:szCs w:val="18"/>
          <w:color w:val="auto"/>
        </w:rPr>
      </w:pPr>
    </w:p>
    <w:p>
      <w:pPr>
        <w:ind w:left="-8" w:right="100" w:firstLine="1492"/>
        <w:spacing w:after="0" w:line="308" w:lineRule="auto"/>
        <w:tabs>
          <w:tab w:leader="none" w:pos="178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US Issuing Lender or any correspondent honoring a drawing against a Drawing Document up to the amount available under any US Letter of Credit even if such Drawing Document claims an amount in excess of the amount available under the US Letter of Credit;</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92"/>
          </w:cols>
          <w:pgMar w:left="248" w:top="274" w:right="259" w:bottom="1440" w:gutter="0" w:footer="0" w:header="0"/>
        </w:sectPr>
      </w:pPr>
    </w:p>
    <w:bookmarkStart w:id="128" w:name="page129"/>
    <w:bookmarkEnd w:id="128"/>
    <w:p>
      <w:pPr>
        <w:ind w:right="40" w:firstLine="1492"/>
        <w:spacing w:after="0" w:line="277" w:lineRule="auto"/>
        <w:tabs>
          <w:tab w:leader="none" w:pos="1738"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existence of any claim, set-off, defense or other right that any Parent or any of their Subsidiaries may have at any time against any beneficiary or transferee beneficiary, any assignee of proceeds, US Issuing Lender or any other Person;</w:t>
      </w:r>
    </w:p>
    <w:p>
      <w:pPr>
        <w:spacing w:after="0" w:line="62" w:lineRule="exact"/>
        <w:rPr>
          <w:rFonts w:ascii="Arial" w:cs="Arial" w:eastAsia="Arial" w:hAnsi="Arial"/>
          <w:sz w:val="18"/>
          <w:szCs w:val="18"/>
          <w:color w:val="auto"/>
        </w:rPr>
      </w:pPr>
    </w:p>
    <w:p>
      <w:pPr>
        <w:ind w:right="200" w:firstLine="1492"/>
        <w:spacing w:after="0" w:line="264" w:lineRule="auto"/>
        <w:tabs>
          <w:tab w:leader="none" w:pos="178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 Issuing Lender or any correspondent honoring a drawing upon receipt of an electronic presentation under a US Letter of Credit requiring the same, regardless of whether the original Drawing Documents arrive at US Issuing Lender’s counters or are different from the electronic presentation;</w:t>
      </w:r>
    </w:p>
    <w:p>
      <w:pPr>
        <w:spacing w:after="0" w:line="73" w:lineRule="exact"/>
        <w:rPr>
          <w:rFonts w:ascii="Arial" w:cs="Arial" w:eastAsia="Arial" w:hAnsi="Arial"/>
          <w:sz w:val="18"/>
          <w:szCs w:val="18"/>
          <w:color w:val="auto"/>
        </w:rPr>
      </w:pPr>
    </w:p>
    <w:p>
      <w:pPr>
        <w:ind w:left="1840" w:hanging="348"/>
        <w:spacing w:after="0"/>
        <w:tabs>
          <w:tab w:leader="none" w:pos="18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other event, circumstance or conduct whatsoever, whether or not similar to any of the foregoing that might, but for this</w:t>
      </w:r>
    </w:p>
    <w:p>
      <w:pPr>
        <w:spacing w:after="0" w:line="35"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u w:val="single" w:color="auto"/>
          <w:color w:val="auto"/>
        </w:rPr>
        <w:t>Section 2.11A(i)</w:t>
      </w:r>
      <w:r>
        <w:rPr>
          <w:rFonts w:ascii="Arial" w:cs="Arial" w:eastAsia="Arial" w:hAnsi="Arial"/>
          <w:sz w:val="18"/>
          <w:szCs w:val="18"/>
          <w:color w:val="auto"/>
        </w:rPr>
        <w:t>, constitute a legal or equitable defense to or discharge of, or provide a right of set-off against, Parents’ or any of their Subsidiaries’ reimbursement and other payment obligations and liabilities, arising under, or in connection with, any US Letter of Credit, whether against US Issuing Lender, the beneficiary or any other Person; or</w:t>
      </w:r>
    </w:p>
    <w:p>
      <w:pPr>
        <w:spacing w:after="0" w:line="8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(viii) the fact that any Default or Event of Default shall have occurred and be continuing;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2.11A(g)</w:t>
      </w:r>
      <w:r>
        <w:rPr>
          <w:rFonts w:ascii="Arial" w:cs="Arial" w:eastAsia="Arial" w:hAnsi="Arial"/>
          <w:sz w:val="18"/>
          <w:szCs w:val="18"/>
          <w:color w:val="auto"/>
        </w:rPr>
        <w:t xml:space="preserve"> above, the foregoing shall not release US Issuing Lender from such liability to US Borrowers as may be determined in a final, non-appealable judgment of a court of competent jurisdiction against US Issuing Lender following reimbursement or payment of the obligations and liabilities, including reimbursement and other payment obligations, of US Borrowers to US Issuing Lender arising under, or in connection with, this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or any US Letter of Credit.</w:t>
      </w:r>
    </w:p>
    <w:p>
      <w:pPr>
        <w:spacing w:after="0" w:line="79" w:lineRule="exact"/>
        <w:rPr>
          <w:sz w:val="20"/>
          <w:szCs w:val="20"/>
          <w:color w:val="auto"/>
        </w:rPr>
      </w:pPr>
    </w:p>
    <w:p>
      <w:pPr>
        <w:jc w:val="both"/>
        <w:ind w:right="20" w:firstLine="921"/>
        <w:spacing w:after="0" w:line="264" w:lineRule="auto"/>
        <w:tabs>
          <w:tab w:leader="none" w:pos="11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US Issuing Lender and each other Letter of Credit Related Person (if applicable) shall not be responsible to US Borrowers for, and US Issuing Lender’s rights and remedies against US Borrowers and the obligation of US Borrowers to reimburse US Issuing Lender for each drawing under each US Letter of Credit shall not be impaired by:</w:t>
      </w:r>
    </w:p>
    <w:p>
      <w:pPr>
        <w:spacing w:after="0" w:line="73" w:lineRule="exact"/>
        <w:rPr>
          <w:rFonts w:ascii="Arial" w:cs="Arial" w:eastAsia="Arial" w:hAnsi="Arial"/>
          <w:sz w:val="18"/>
          <w:szCs w:val="18"/>
          <w:color w:val="auto"/>
        </w:rPr>
      </w:pPr>
    </w:p>
    <w:p>
      <w:pPr>
        <w:ind w:right="80" w:firstLine="1492"/>
        <w:spacing w:after="0" w:line="277" w:lineRule="auto"/>
        <w:tabs>
          <w:tab w:leader="none" w:pos="169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honor of a presentation under any US Letter of Credit that on its face substantially complies with the terms and conditions of such US Letter of Credit, even if the US Letter of Credit requires strict compliance by the beneficiary;</w:t>
      </w:r>
    </w:p>
    <w:p>
      <w:pPr>
        <w:spacing w:after="0" w:line="62" w:lineRule="exact"/>
        <w:rPr>
          <w:rFonts w:ascii="Arial" w:cs="Arial" w:eastAsia="Arial" w:hAnsi="Arial"/>
          <w:sz w:val="18"/>
          <w:szCs w:val="18"/>
          <w:color w:val="auto"/>
        </w:rPr>
      </w:pPr>
    </w:p>
    <w:p>
      <w:pPr>
        <w:ind w:firstLine="1492"/>
        <w:spacing w:after="0" w:line="264" w:lineRule="auto"/>
        <w:tabs>
          <w:tab w:leader="none" w:pos="174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73" w:lineRule="exact"/>
        <w:rPr>
          <w:rFonts w:ascii="Arial" w:cs="Arial" w:eastAsia="Arial" w:hAnsi="Arial"/>
          <w:sz w:val="18"/>
          <w:szCs w:val="18"/>
          <w:color w:val="auto"/>
        </w:rPr>
      </w:pPr>
    </w:p>
    <w:p>
      <w:pPr>
        <w:jc w:val="both"/>
        <w:ind w:right="140" w:firstLine="1492"/>
        <w:spacing w:after="0" w:line="342" w:lineRule="auto"/>
        <w:tabs>
          <w:tab w:leader="none" w:pos="179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acceptance as a draft of any written or electronic demand or request for payment under a US Letter of Credit, even if nonnegotiable or not in the form of a draft or notwithstanding any requirement that such draft, demand or request bear any or adequate reference to the US Letter of Credit;</w:t>
      </w:r>
    </w:p>
    <w:p>
      <w:pPr>
        <w:spacing w:after="0" w:line="15" w:lineRule="exact"/>
        <w:rPr>
          <w:rFonts w:ascii="Arial" w:cs="Arial" w:eastAsia="Arial" w:hAnsi="Arial"/>
          <w:sz w:val="16"/>
          <w:szCs w:val="16"/>
          <w:color w:val="auto"/>
        </w:rPr>
      </w:pPr>
    </w:p>
    <w:p>
      <w:pPr>
        <w:ind w:right="280" w:firstLine="1492"/>
        <w:spacing w:after="0" w:line="264" w:lineRule="auto"/>
        <w:tabs>
          <w:tab w:leader="none" w:pos="178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identity or authority of any presenter or signer of any Drawing Document or the form, accuracy, genuineness or legal effect of any Drawing Document (other than US Issuing Lender’s determination that such Drawing Document appears on its face substantially to comply with the terms and conditions of the US Letter of Credit);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129" w:name="page130"/>
    <w:bookmarkEnd w:id="129"/>
    <w:p>
      <w:pPr>
        <w:ind w:left="-8" w:right="340" w:firstLine="1492"/>
        <w:spacing w:after="0" w:line="277" w:lineRule="auto"/>
        <w:tabs>
          <w:tab w:leader="none" w:pos="1730" w:val="left"/>
        </w:tabs>
        <w:numPr>
          <w:ilvl w:val="2"/>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acting upon any instruction or request relative to a US Letter of Credit or requested US Letter of Credit that US Issuing Lender in good faith believes to have been given by a Person authorized to give such instruction or request;</w:t>
      </w:r>
    </w:p>
    <w:p>
      <w:pPr>
        <w:spacing w:after="0" w:line="62" w:lineRule="exact"/>
        <w:rPr>
          <w:rFonts w:ascii="Arial" w:cs="Arial" w:eastAsia="Arial" w:hAnsi="Arial"/>
          <w:sz w:val="18"/>
          <w:szCs w:val="18"/>
          <w:color w:val="auto"/>
        </w:rPr>
      </w:pPr>
    </w:p>
    <w:p>
      <w:pPr>
        <w:ind w:left="-8" w:firstLine="1492"/>
        <w:spacing w:after="0" w:line="342" w:lineRule="auto"/>
        <w:tabs>
          <w:tab w:leader="none" w:pos="178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US Borrower;</w:t>
      </w:r>
    </w:p>
    <w:p>
      <w:pPr>
        <w:spacing w:after="0" w:line="15" w:lineRule="exact"/>
        <w:rPr>
          <w:rFonts w:ascii="Arial" w:cs="Arial" w:eastAsia="Arial" w:hAnsi="Arial"/>
          <w:sz w:val="16"/>
          <w:szCs w:val="16"/>
          <w:color w:val="auto"/>
        </w:rPr>
      </w:pPr>
    </w:p>
    <w:p>
      <w:pPr>
        <w:ind w:left="-8" w:right="320" w:firstLine="1492"/>
        <w:spacing w:after="0" w:line="342" w:lineRule="auto"/>
        <w:tabs>
          <w:tab w:leader="none" w:pos="183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any acts, omissions or fraud by, or the insolvency of, any beneficiary, any nominated person or entity or any other Person or any breach of contract between any beneficiary and any Borrower or any of the parties to the underlying transaction to which the US Letter of Credit relates;</w:t>
      </w:r>
    </w:p>
    <w:p>
      <w:pPr>
        <w:spacing w:after="0" w:line="15" w:lineRule="exact"/>
        <w:rPr>
          <w:rFonts w:ascii="Arial" w:cs="Arial" w:eastAsia="Arial" w:hAnsi="Arial"/>
          <w:sz w:val="16"/>
          <w:szCs w:val="16"/>
          <w:color w:val="auto"/>
        </w:rPr>
      </w:pPr>
    </w:p>
    <w:p>
      <w:pPr>
        <w:ind w:left="-8" w:right="780" w:firstLine="1492"/>
        <w:spacing w:after="0" w:line="277" w:lineRule="auto"/>
        <w:tabs>
          <w:tab w:leader="none" w:pos="188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assertion or waiver of any provision of the ISP or UCP that primarily benefits an issuer of a letter of credit, including any requirement that any Drawing Document be presented to it at a particular hour or place;</w:t>
      </w:r>
    </w:p>
    <w:p>
      <w:pPr>
        <w:spacing w:after="0" w:line="62" w:lineRule="exact"/>
        <w:rPr>
          <w:rFonts w:ascii="Arial" w:cs="Arial" w:eastAsia="Arial" w:hAnsi="Arial"/>
          <w:sz w:val="18"/>
          <w:szCs w:val="18"/>
          <w:color w:val="auto"/>
        </w:rPr>
      </w:pPr>
    </w:p>
    <w:p>
      <w:pPr>
        <w:ind w:left="-8" w:right="680" w:firstLine="1492"/>
        <w:spacing w:after="0" w:line="277" w:lineRule="auto"/>
        <w:tabs>
          <w:tab w:leader="none" w:pos="178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payment to any presenting bank (designated or permitted by the terms of the applicable US Letter of Credit) claiming that it rightfully honored or is entitled to reimbursement or indemnity under Standard Letter of Credit Practice applicable to it;</w:t>
      </w:r>
    </w:p>
    <w:p>
      <w:pPr>
        <w:spacing w:after="0" w:line="62" w:lineRule="exact"/>
        <w:rPr>
          <w:rFonts w:ascii="Arial" w:cs="Arial" w:eastAsia="Arial" w:hAnsi="Arial"/>
          <w:sz w:val="18"/>
          <w:szCs w:val="18"/>
          <w:color w:val="auto"/>
        </w:rPr>
      </w:pPr>
    </w:p>
    <w:p>
      <w:pPr>
        <w:ind w:left="-8" w:right="240" w:firstLine="1492"/>
        <w:spacing w:after="0" w:line="277" w:lineRule="auto"/>
        <w:tabs>
          <w:tab w:leader="none" w:pos="173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acting or failing to act as required or permitted under Standard Letter of Credit Practice applicable to where US Issuing Lender has issued, confirmed, advised or negotiated such US Letter of Credit, as the case may be;</w:t>
      </w:r>
    </w:p>
    <w:p>
      <w:pPr>
        <w:spacing w:after="0" w:line="62" w:lineRule="exact"/>
        <w:rPr>
          <w:rFonts w:ascii="Arial" w:cs="Arial" w:eastAsia="Arial" w:hAnsi="Arial"/>
          <w:sz w:val="18"/>
          <w:szCs w:val="18"/>
          <w:color w:val="auto"/>
        </w:rPr>
      </w:pPr>
    </w:p>
    <w:p>
      <w:pPr>
        <w:ind w:left="-8" w:firstLine="1492"/>
        <w:spacing w:after="0" w:line="264" w:lineRule="auto"/>
        <w:tabs>
          <w:tab w:leader="none" w:pos="178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honor of a presentation after the expiration date of any US Letter of Credit notwithstanding that a presentation was made prior to such expiration date and dishonored by US Issuing Lender if subsequently US Issuing Lender or any court or other finder of fact determines such presentation should have been honored;</w:t>
      </w:r>
    </w:p>
    <w:p>
      <w:pPr>
        <w:spacing w:after="0" w:line="73" w:lineRule="exact"/>
        <w:rPr>
          <w:rFonts w:ascii="Arial" w:cs="Arial" w:eastAsia="Arial" w:hAnsi="Arial"/>
          <w:sz w:val="18"/>
          <w:szCs w:val="18"/>
          <w:color w:val="auto"/>
        </w:rPr>
      </w:pPr>
    </w:p>
    <w:p>
      <w:pPr>
        <w:ind w:left="1832" w:hanging="348"/>
        <w:spacing w:after="0"/>
        <w:tabs>
          <w:tab w:leader="none" w:pos="1832" w:val="left"/>
        </w:tabs>
        <w:numPr>
          <w:ilvl w:val="2"/>
          <w:numId w:val="128"/>
        </w:numPr>
        <w:rPr>
          <w:rFonts w:ascii="Arial" w:cs="Arial" w:eastAsia="Arial" w:hAnsi="Arial"/>
          <w:sz w:val="17"/>
          <w:szCs w:val="17"/>
          <w:color w:val="auto"/>
        </w:rPr>
      </w:pPr>
      <w:r>
        <w:rPr>
          <w:rFonts w:ascii="Arial" w:cs="Arial" w:eastAsia="Arial" w:hAnsi="Arial"/>
          <w:sz w:val="17"/>
          <w:szCs w:val="17"/>
          <w:color w:val="auto"/>
        </w:rPr>
        <w:t>dishonor of any presentation that does not strictly comply or that is fraudulent, forged or otherwise not entitled to honor; or</w:t>
      </w:r>
    </w:p>
    <w:p>
      <w:pPr>
        <w:spacing w:after="0" w:line="128" w:lineRule="exact"/>
        <w:rPr>
          <w:rFonts w:ascii="Arial" w:cs="Arial" w:eastAsia="Arial" w:hAnsi="Arial"/>
          <w:sz w:val="17"/>
          <w:szCs w:val="17"/>
          <w:color w:val="auto"/>
        </w:rPr>
      </w:pPr>
    </w:p>
    <w:p>
      <w:pPr>
        <w:ind w:left="-8" w:right="440" w:firstLine="1492"/>
        <w:spacing w:after="0" w:line="277" w:lineRule="auto"/>
        <w:tabs>
          <w:tab w:leader="none" w:pos="188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honor of a presentation that is subsequently determined by US Issuing Lender to have been made in violation of international, federal, state or local restrictions on the transaction of business with certain prohibited Persons.</w:t>
      </w:r>
    </w:p>
    <w:p>
      <w:pPr>
        <w:spacing w:after="0" w:line="62" w:lineRule="exact"/>
        <w:rPr>
          <w:rFonts w:ascii="Arial" w:cs="Arial" w:eastAsia="Arial" w:hAnsi="Arial"/>
          <w:sz w:val="18"/>
          <w:szCs w:val="18"/>
          <w:color w:val="auto"/>
        </w:rPr>
      </w:pPr>
    </w:p>
    <w:p>
      <w:pPr>
        <w:ind w:left="-8" w:firstLine="921"/>
        <w:spacing w:after="0" w:line="288" w:lineRule="auto"/>
        <w:tabs>
          <w:tab w:leader="none" w:pos="11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US Borrowers shall pay promptly (and in any event within one Business Day) upon demand to Agent for the account of US Issuing Lender as non-refundable fees, commissions, and charges (it being acknowledged and agreed that any charging of such fees, commissions, and charges to the US Loan Account pursuant to the provisions of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shall be deemed to constitute a demand for payment thereof for the purposes of this </w:t>
      </w:r>
      <w:r>
        <w:rPr>
          <w:rFonts w:ascii="Arial" w:cs="Arial" w:eastAsia="Arial" w:hAnsi="Arial"/>
          <w:sz w:val="16"/>
          <w:szCs w:val="16"/>
          <w:u w:val="single" w:color="auto"/>
          <w:color w:val="auto"/>
        </w:rPr>
        <w:t>Section 2.11A(k)</w:t>
      </w:r>
      <w:r>
        <w:rPr>
          <w:rFonts w:ascii="Arial" w:cs="Arial" w:eastAsia="Arial" w:hAnsi="Arial"/>
          <w:sz w:val="16"/>
          <w:szCs w:val="16"/>
          <w:color w:val="auto"/>
        </w:rPr>
        <w:t>):</w:t>
      </w:r>
    </w:p>
    <w:p>
      <w:pPr>
        <w:ind w:left="-8" w:right="180" w:firstLine="8"/>
        <w:spacing w:after="0" w:line="261" w:lineRule="auto"/>
        <w:tabs>
          <w:tab w:leader="none" w:pos="20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fronting fee which shall be imposed by US Issuing Lender of 0.125% per annum times the average amount of the US Letter of Credit Usage during the immediately preceding</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92"/>
          </w:cols>
          <w:pgMar w:left="248" w:top="274" w:right="259" w:bottom="1440" w:gutter="0" w:footer="0" w:header="0"/>
        </w:sectPr>
      </w:pPr>
    </w:p>
    <w:bookmarkStart w:id="130" w:name="page131"/>
    <w:bookmarkEnd w:id="13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quarter (or if an Event of Default has occurred, month) (or portion thereof),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 any and all other customary commissions, fees and charges then in effect imposed by, and any and all expenses incurred by, US Issuing Lender, or by any adviser, confirming institution or entity or other nominated person, relating to US Letters of Credit, at the time of issuance of any US Letter of Credit and upon the occurrence of any other activity with respect to any US Letter of Credit (including transfers, assignments of proceeds, amendments, drawings, renewals or cancellations). Notwithstanding the foregoing, if US Issuing Lender is a Person other than Wells Fargo, all fronting fees payable in respect of US Letters of Credit issued by such US Issuing Lender shall be paid by US Borrowers promptly upon written demand directly to such US Issuing Lender for its own account.</w:t>
      </w:r>
    </w:p>
    <w:p>
      <w:pPr>
        <w:spacing w:after="0" w:line="70" w:lineRule="exact"/>
        <w:rPr>
          <w:sz w:val="20"/>
          <w:szCs w:val="20"/>
          <w:color w:val="auto"/>
        </w:rPr>
      </w:pPr>
    </w:p>
    <w:p>
      <w:pPr>
        <w:jc w:val="both"/>
        <w:ind w:firstLine="921"/>
        <w:spacing w:after="0" w:line="264" w:lineRule="auto"/>
        <w:tabs>
          <w:tab w:leader="none" w:pos="112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by reason of (x) any Change in Law, or (y) compliance by US Issuing Lender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73" w:lineRule="exact"/>
        <w:rPr>
          <w:rFonts w:ascii="Arial" w:cs="Arial" w:eastAsia="Arial" w:hAnsi="Arial"/>
          <w:sz w:val="18"/>
          <w:szCs w:val="18"/>
          <w:color w:val="auto"/>
        </w:rPr>
      </w:pPr>
    </w:p>
    <w:p>
      <w:pPr>
        <w:ind w:right="160" w:firstLine="1492"/>
        <w:spacing w:after="0" w:line="277" w:lineRule="auto"/>
        <w:tabs>
          <w:tab w:leader="none" w:pos="169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reserve, deposit, or similar requirement is or shall be imposed or modified in respect of any US Letter of Credit issued or caused to be issued hereunder or hereby, or any US Loans or obligations to make US Loans hereunder or hereby, or</w:t>
      </w:r>
    </w:p>
    <w:p>
      <w:pPr>
        <w:spacing w:after="0" w:line="62" w:lineRule="exact"/>
        <w:rPr>
          <w:rFonts w:ascii="Arial" w:cs="Arial" w:eastAsia="Arial" w:hAnsi="Arial"/>
          <w:sz w:val="18"/>
          <w:szCs w:val="18"/>
          <w:color w:val="auto"/>
        </w:rPr>
      </w:pPr>
    </w:p>
    <w:p>
      <w:pPr>
        <w:ind w:right="100" w:firstLine="1492"/>
        <w:spacing w:after="0" w:line="277" w:lineRule="auto"/>
        <w:tabs>
          <w:tab w:leader="none" w:pos="17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there shall be imposed on US Issuing Lender or any other member of the Lender Group any other condition regarding any US Letter of Credit, US Loans or obligations to make US Loans hereunder,</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and the result of the foregoing is to increase, directly or indirectly, the cost to US Issuing Lender or any other member of the Lender Group of issuing, making, participating in, or maintaining any US Letter of Credit or to reduce the amount receivable in respect thereof, then, and in any such case, Agent may, at any time within a reasonable period after the additional cost is incurred or the amount received is reduced, notify US Borrowers in writing, and US Borrowers shall pay within 30 days after demand therefor, such amounts as Agent may specify to be necessary to compensate US Issuing Lender or any other member of the Lender Group for such additional cost or reduced receipt, together with interest on such amount from the date of such demand until payment in full thereof at the rate then applicable to US Revolving Loans that are Base Rate Loans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US Borrowers shall not be required to provide any compensation pursuant to this </w:t>
      </w:r>
      <w:r>
        <w:rPr>
          <w:rFonts w:ascii="Arial" w:cs="Arial" w:eastAsia="Arial" w:hAnsi="Arial"/>
          <w:sz w:val="17"/>
          <w:szCs w:val="17"/>
          <w:u w:val="single" w:color="auto"/>
          <w:color w:val="auto"/>
        </w:rPr>
        <w:t>Section 2.11A(l)</w:t>
      </w:r>
      <w:r>
        <w:rPr>
          <w:rFonts w:ascii="Arial" w:cs="Arial" w:eastAsia="Arial" w:hAnsi="Arial"/>
          <w:sz w:val="17"/>
          <w:szCs w:val="17"/>
          <w:color w:val="auto"/>
        </w:rPr>
        <w:t xml:space="preserve"> for any such amounts incurred more than 180 days prior to the date on which the demand for payment of such amounts is first made to US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17"/>
          <w:szCs w:val="17"/>
          <w:u w:val="single" w:color="auto"/>
          <w:color w:val="auto"/>
        </w:rPr>
        <w:t>Section 2.11A(l)</w:t>
      </w:r>
      <w:r>
        <w:rPr>
          <w:rFonts w:ascii="Arial" w:cs="Arial" w:eastAsia="Arial" w:hAnsi="Arial"/>
          <w:sz w:val="17"/>
          <w:szCs w:val="17"/>
          <w:color w:val="auto"/>
        </w:rPr>
        <w:t>, as set forth in a certificate setting forth the calculation thereof in reasonable detail, shall, in the absence of manifest or demonstrable error, be final and conclusive and binding on all of the parties hereto.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274" w:right="259" w:bottom="1440" w:gutter="0" w:footer="0" w:header="0"/>
        </w:sectPr>
      </w:pPr>
    </w:p>
    <w:bookmarkStart w:id="131" w:name="page132"/>
    <w:bookmarkEnd w:id="131"/>
    <w:p>
      <w:pPr>
        <w:ind w:left="-20" w:right="40" w:firstLine="921"/>
        <w:spacing w:after="0" w:line="297" w:lineRule="auto"/>
        <w:tabs>
          <w:tab w:leader="none" w:pos="1198" w:val="left"/>
        </w:tabs>
        <w:numPr>
          <w:ilvl w:val="0"/>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standby US Letter of Credit shall expire not later than the date that is 12 months after the date of the issuance of such US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standby US Letter of Credit may provide for the automatic extension thereof for any number of additional periods each of up to one year in duration;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with respect to any US Letter of Credit which extends beyond the Maturity Date, Letter of Credit Collateralization shall be provided therefor on or before the date that is five Business Days prior to the Maturity Date. Each commercial US Letter of Credit shall expire on the earlier of (i) 120 days after the date of the issuance of such commercial US Letter of Credit and (ii) five Business Days prior to the Maturity Date.</w:t>
      </w:r>
    </w:p>
    <w:p>
      <w:pPr>
        <w:spacing w:after="0" w:line="50" w:lineRule="exact"/>
        <w:rPr>
          <w:rFonts w:ascii="Arial" w:cs="Arial" w:eastAsia="Arial" w:hAnsi="Arial"/>
          <w:sz w:val="16"/>
          <w:szCs w:val="16"/>
          <w:color w:val="auto"/>
        </w:rPr>
      </w:pPr>
    </w:p>
    <w:p>
      <w:pPr>
        <w:ind w:left="-20" w:firstLine="921"/>
        <w:spacing w:after="0" w:line="290" w:lineRule="auto"/>
        <w:tabs>
          <w:tab w:leader="none" w:pos="114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If (i) any Event of Default shall occur and be continuing, or (ii) US Availability shall at any time be less than zero, then on the Business Day following the date when the Administrative Borrower receives notice from Agent or the Required Lenders (or, if the maturity of the Obligations has been accelerated, Revolving Lenders with US Letter of Credit Exposure representing greater than 50% of the total US Letter Credit Exposure) demanding Letter of Credit Collateralization pursuant to this </w:t>
      </w:r>
      <w:r>
        <w:rPr>
          <w:rFonts w:ascii="Arial" w:cs="Arial" w:eastAsia="Arial" w:hAnsi="Arial"/>
          <w:sz w:val="16"/>
          <w:szCs w:val="16"/>
          <w:u w:val="single" w:color="auto"/>
          <w:color w:val="auto"/>
        </w:rPr>
        <w:t>Section 2.11A(n)</w:t>
      </w:r>
      <w:r>
        <w:rPr>
          <w:rFonts w:ascii="Arial" w:cs="Arial" w:eastAsia="Arial" w:hAnsi="Arial"/>
          <w:sz w:val="16"/>
          <w:szCs w:val="16"/>
          <w:color w:val="auto"/>
        </w:rPr>
        <w:t xml:space="preserve"> upon such demand, US Borrowers shall provide Letter of Credit Collateralization with respect to the then existing US Letter of Credit Usage. If US Borrowers fail to provide Letter of Credit Collateralization as required by this </w:t>
      </w:r>
      <w:r>
        <w:rPr>
          <w:rFonts w:ascii="Arial" w:cs="Arial" w:eastAsia="Arial" w:hAnsi="Arial"/>
          <w:sz w:val="16"/>
          <w:szCs w:val="16"/>
          <w:u w:val="single" w:color="auto"/>
          <w:color w:val="auto"/>
        </w:rPr>
        <w:t>Section 2.11A(n)</w:t>
      </w:r>
      <w:r>
        <w:rPr>
          <w:rFonts w:ascii="Arial" w:cs="Arial" w:eastAsia="Arial" w:hAnsi="Arial"/>
          <w:sz w:val="16"/>
          <w:szCs w:val="16"/>
          <w:color w:val="auto"/>
        </w:rPr>
        <w:t xml:space="preserve">, the Revolving Lenders may (and, upon direction of Agent, shall) advance, as US Revolving Loans the amount of the cash collateral required pursuant to the Letter of Credit Collateralization provision so that the then existing US Letter of Credit Usage is cash collateralized in accordance with the Letter of Credit Collateralization provision (whether or not the Revolver Commitments have terminated, an Overadvance exists or the conditions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are satisfied).</w:t>
      </w:r>
    </w:p>
    <w:p>
      <w:pPr>
        <w:spacing w:after="0" w:line="58" w:lineRule="exact"/>
        <w:rPr>
          <w:rFonts w:ascii="Arial" w:cs="Arial" w:eastAsia="Arial" w:hAnsi="Arial"/>
          <w:sz w:val="16"/>
          <w:szCs w:val="16"/>
          <w:color w:val="auto"/>
        </w:rPr>
      </w:pPr>
    </w:p>
    <w:p>
      <w:pPr>
        <w:ind w:left="-20" w:right="80" w:firstLine="921"/>
        <w:spacing w:after="0" w:line="264" w:lineRule="auto"/>
        <w:tabs>
          <w:tab w:leader="none" w:pos="11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Unless otherwise expressly agreed by US Issuing Lender and US Borrowers when a US Letter of Credit is issued (including any such agreement applicable to an Existing US Letter of Credit), (i) the rules of the ISP shall apply to each standby US Letter of Credit, and (ii) the rules of the UCP shall apply to each commercial US Letter of Credit.</w:t>
      </w:r>
    </w:p>
    <w:p>
      <w:pPr>
        <w:spacing w:after="0" w:line="73" w:lineRule="exact"/>
        <w:rPr>
          <w:rFonts w:ascii="Arial" w:cs="Arial" w:eastAsia="Arial" w:hAnsi="Arial"/>
          <w:sz w:val="18"/>
          <w:szCs w:val="18"/>
          <w:color w:val="auto"/>
        </w:rPr>
      </w:pPr>
    </w:p>
    <w:p>
      <w:pPr>
        <w:ind w:left="-20" w:right="360" w:firstLine="921"/>
        <w:spacing w:after="0" w:line="277" w:lineRule="auto"/>
        <w:tabs>
          <w:tab w:leader="none" w:pos="11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 Issuing Lender shall be deemed to have acted with due diligence and reasonable care if US Issuing Lender’s conduct is in accordance with Standard Letter of Credit Practice or in accordance with this Agreement.</w:t>
      </w:r>
    </w:p>
    <w:p>
      <w:pPr>
        <w:spacing w:after="0" w:line="62" w:lineRule="exact"/>
        <w:rPr>
          <w:rFonts w:ascii="Arial" w:cs="Arial" w:eastAsia="Arial" w:hAnsi="Arial"/>
          <w:sz w:val="18"/>
          <w:szCs w:val="18"/>
          <w:color w:val="auto"/>
        </w:rPr>
      </w:pPr>
    </w:p>
    <w:p>
      <w:pPr>
        <w:ind w:left="-20" w:right="160" w:firstLine="921"/>
        <w:spacing w:after="0" w:line="312" w:lineRule="auto"/>
        <w:tabs>
          <w:tab w:leader="none" w:pos="114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In the event of a direct conflict between the provisions of this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shall control and govern.</w:t>
      </w:r>
    </w:p>
    <w:p>
      <w:pPr>
        <w:spacing w:after="0" w:line="38" w:lineRule="exact"/>
        <w:rPr>
          <w:rFonts w:ascii="Arial" w:cs="Arial" w:eastAsia="Arial" w:hAnsi="Arial"/>
          <w:sz w:val="16"/>
          <w:szCs w:val="16"/>
          <w:color w:val="auto"/>
        </w:rPr>
      </w:pPr>
    </w:p>
    <w:p>
      <w:pPr>
        <w:ind w:left="-20" w:right="60" w:firstLine="921"/>
        <w:spacing w:after="0" w:line="277" w:lineRule="auto"/>
        <w:tabs>
          <w:tab w:leader="none" w:pos="11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shall survive the termination of this Agreement and the repayment in full of the Obligations with respect to any US Letters of Credit that remain outstanding.</w:t>
      </w:r>
    </w:p>
    <w:p>
      <w:pPr>
        <w:spacing w:after="0" w:line="62" w:lineRule="exact"/>
        <w:rPr>
          <w:rFonts w:ascii="Arial" w:cs="Arial" w:eastAsia="Arial" w:hAnsi="Arial"/>
          <w:sz w:val="18"/>
          <w:szCs w:val="18"/>
          <w:color w:val="auto"/>
        </w:rPr>
      </w:pPr>
    </w:p>
    <w:p>
      <w:pPr>
        <w:jc w:val="both"/>
        <w:ind w:left="-20" w:right="160" w:firstLine="921"/>
        <w:spacing w:after="0" w:line="279" w:lineRule="auto"/>
        <w:tabs>
          <w:tab w:leader="none" w:pos="112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US Borrowers’ costs and expense, US Borrowers shall execute and deliver to US Issuing Lender such additional certificates, instruments and/or documents and take such additional action as may be reasonably requested by US Issuing Lender to enable US Issuing Lender to issue any US Letter of Credit pursuant to this Agreement and related Issuer Document, to protect, exercise and/or enforce US Issuing Lenders’ rights and interests under this Agreement or to give effect to the terms and provisions of this Agreement or any Issuer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60" w:top="274" w:right="239" w:bottom="1440" w:gutter="0" w:footer="0" w:header="0"/>
        </w:sectPr>
      </w:pPr>
    </w:p>
    <w:bookmarkStart w:id="132" w:name="page133"/>
    <w:bookmarkEnd w:id="132"/>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 Each US Borrower irrevocably appoints US Issuing Lender as its attorney-in-fact and authorizes US Issuing Lender, without notice to US Borrowers, to execute and deliver ancillary documents and letters customary in the letter of credit business that may include but are not limited to advisements, indemnities, checks, bills of exchange and issuance documents. The power of attorney granted by the US Borrowers is limited solely to such actions related to the issuance, confirmation or amendment of any US Letter of Credit and to ancillary documents or letters customary in the letter of credit business. This appointment is coupled with an interest.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2.11B </w:t>
      </w:r>
      <w:r>
        <w:rPr>
          <w:rFonts w:ascii="Arial" w:cs="Arial" w:eastAsia="Arial" w:hAnsi="Arial"/>
          <w:sz w:val="18"/>
          <w:szCs w:val="18"/>
          <w:b w:val="1"/>
          <w:bCs w:val="1"/>
          <w:u w:val="single" w:color="auto"/>
          <w:color w:val="auto"/>
        </w:rPr>
        <w:t>Canadian Letters of Credit</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84" w:lineRule="auto"/>
        <w:tabs>
          <w:tab w:leader="none" w:pos="115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upon the request of Canadian Borrowers made in accordance herewith, and prior to the Maturity Date, Canadian Issuing Lender agrees to issue or, if Canadian Issuing Lender is WF Canada, to cause a Canadian Underlying Issuer (including as Canadian Issuing Lender’s agent) to issue, a requested standby Canadian Letter of Credit or a sight commercial Canadian Letter of Credit for the account of Canadian Borrowers or, for Canadian Letters of Credit in an amount not to exceed the Dollar Equivalent of $15,000,000 in the aggregate for all Letters of Credit issued for the account of a Subsidiary that is not a Loan Party, on the account of a Subsidiary of the Parent. If Canadian Issuing Lender is WF Canada, it may, at its option, elect to cause a Canadian Underlying Issuer to issue a requested Canadian Letter of Credit. If WF Canada makes such election, it agrees that it will enter into arrangements relative to the reimbursement of such Canadian Underlying Issuer (which may include, among other means, by becoming an applicant with respect to such Canadian Letter of Credit or entering into undertakings or other arrangements that provide for reimbursement of such Canadian Underlying Issuer with respect to such drawings under Canadian Letter of Credit; each such obligation or undertaking, irrespective of whether in writing, a “</w:t>
      </w:r>
      <w:r>
        <w:rPr>
          <w:rFonts w:ascii="Arial" w:cs="Arial" w:eastAsia="Arial" w:hAnsi="Arial"/>
          <w:sz w:val="16"/>
          <w:szCs w:val="16"/>
          <w:u w:val="single" w:color="auto"/>
          <w:color w:val="auto"/>
        </w:rPr>
        <w:t>Canadian Reimbursement Undertaking</w:t>
      </w:r>
      <w:r>
        <w:rPr>
          <w:rFonts w:ascii="Arial" w:cs="Arial" w:eastAsia="Arial" w:hAnsi="Arial"/>
          <w:sz w:val="16"/>
          <w:szCs w:val="16"/>
          <w:color w:val="auto"/>
        </w:rPr>
        <w:t>”) with respect to Canadian Letters of Credit issued by such Canadian Underlying Issuer for the account of Canadian Borrowers. By submitting a request to Canadian Issuing Lender for the issuance of a Canadian Letter of Credit, Canadian Borrowers shall be deemed to have requested that (x) a Canadian Issuing Lender issue the requested Canadian Letter of Credit or (y) in the case in which WF Canada is the Canadian Issuing Lender a Canadian Underlying Issuer issue the requested Canadian Letter of Credit (and, in such case, to have requested WF Canada to issue a Canadian Reimbursement Undertaking with respect to such requested Canadian Letter of Credit). Each request for the issuance of a Canadian Letter of Credit, or the amendment, renewal, or extension of any outstanding Canadian Letter of Credit, shall be (i) irrevocable and made in writing by an Authorized Person, (ii) delivered to Agent and Canadian Issuing Lender via telefacsimile or other electronic method of transmission reasonably acceptable to Agent and Canadian Issuing Lender and reasonably in advance of the requested date of issuance, amendment, renewal, or extension, and (iii) subject to Canadian Issuing Lender’s authentication procedures with results satisfactory to Canadian Issuing Lender. Each such request shall be in form and substance reasonably satisfactory to Agent and Canadian Issuing Lender and (i) shall specify (A) the amount of such Canadian Letter of Credit and whether to be issued in Dollars or Canadian Dollars, (B) the date of issuance, amendment, renewal, or extension of such Canadian Letter of Credit, (C) the proposed expiration date of such Canadian Letter of Credit, (D) the name and address of the beneficiary of the Canadian Letter of Credit, and (E) such other information (including, the conditions to drawing, and, in the case of an amendment, renewal, or extension, identification of the Canadian Letter of Credit to be so amended, renewed, or extended) as shall be necessary to prepare, amend, renew,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133" w:name="page134"/>
    <w:bookmarkEnd w:id="133"/>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extend such Canadian Letter of Credit, and (ii) shall be accompanied by such Issuer Documents as Agent, Canadian Issuing Lender or Canadian Underlying Issuer may request or require, to the extent that such requests or requirements are consistent with the Issuer Documents that Canadian Issuing Lender or Canadian Underlying Issuer generally requests for Canadian Letters of Credit in similar circumstances. Canadian Issuing Lender’s records of the content of any such request will be conclusive. Anything contained herein to the contrary notwithstanding, Canadian Issuing Lender may, but shall not be obligated to, issue a Canadian Letter of Credit that supports the obligations of a Canadian Loan Party or one of its Subsidiaries in respect of (x) a lease of real property to the extent that the face amount of such Canadian Letter of Credit exceeds the highest rent (including all rent-like charges) payable under such lease for a period of one year, or (y) an employment contract to the extent that the face amount of such Canadian Letter of Credit exceeds the highest compensation payable under such contract for a period of one year.</w:t>
      </w:r>
    </w:p>
    <w:p>
      <w:pPr>
        <w:spacing w:after="0" w:line="71" w:lineRule="exact"/>
        <w:rPr>
          <w:sz w:val="20"/>
          <w:szCs w:val="20"/>
          <w:color w:val="auto"/>
        </w:rPr>
      </w:pPr>
    </w:p>
    <w:p>
      <w:pPr>
        <w:ind w:right="160" w:firstLine="921"/>
        <w:spacing w:after="0" w:line="308" w:lineRule="auto"/>
        <w:tabs>
          <w:tab w:leader="none" w:pos="116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Canadian Issuing Lender shall have no obligation to issue a Canadian Letter of Credit or a Canadian Reimbursement Undertaking in respect of a Canadian Letter of Credit, in either case, if any of the following would result after giving effect to the requested issuance:</w:t>
      </w:r>
    </w:p>
    <w:p>
      <w:pPr>
        <w:spacing w:after="0" w:line="38" w:lineRule="exact"/>
        <w:rPr>
          <w:rFonts w:ascii="Arial" w:cs="Arial" w:eastAsia="Arial" w:hAnsi="Arial"/>
          <w:sz w:val="17"/>
          <w:szCs w:val="17"/>
          <w:color w:val="auto"/>
        </w:rPr>
      </w:pPr>
    </w:p>
    <w:p>
      <w:pPr>
        <w:ind w:right="500" w:firstLine="1492"/>
        <w:spacing w:after="0" w:line="277" w:lineRule="auto"/>
        <w:tabs>
          <w:tab w:leader="none" w:pos="169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Dollar Equivalent of the Canadian Letter of Credit Usage would exceed the Letter of Credit Sublimit minus the US Letter of Credit Usage minus the UK Letter of Credit Usage, or</w:t>
      </w:r>
    </w:p>
    <w:p>
      <w:pPr>
        <w:spacing w:after="0" w:line="62" w:lineRule="exact"/>
        <w:rPr>
          <w:rFonts w:ascii="Arial" w:cs="Arial" w:eastAsia="Arial" w:hAnsi="Arial"/>
          <w:sz w:val="18"/>
          <w:szCs w:val="18"/>
          <w:color w:val="auto"/>
        </w:rPr>
      </w:pPr>
    </w:p>
    <w:p>
      <w:pPr>
        <w:ind w:right="20" w:firstLine="1492"/>
        <w:spacing w:after="0" w:line="277" w:lineRule="auto"/>
        <w:tabs>
          <w:tab w:leader="none" w:pos="174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Dollar Equivalent of the Canadian Letter of Credit Usage would exceed the Canadian Maximum Revolver Amount less the Dollar Equivalent of the outstanding Canadian Revolving Loans (including Canadian Swing Loans) at such time, or</w:t>
      </w:r>
    </w:p>
    <w:p>
      <w:pPr>
        <w:spacing w:after="0" w:line="62" w:lineRule="exact"/>
        <w:rPr>
          <w:rFonts w:ascii="Arial" w:cs="Arial" w:eastAsia="Arial" w:hAnsi="Arial"/>
          <w:sz w:val="18"/>
          <w:szCs w:val="18"/>
          <w:color w:val="auto"/>
        </w:rPr>
      </w:pPr>
    </w:p>
    <w:p>
      <w:pPr>
        <w:ind w:right="480" w:firstLine="1492"/>
        <w:spacing w:after="0" w:line="342" w:lineRule="auto"/>
        <w:tabs>
          <w:tab w:leader="none" w:pos="179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Dollar Equivalent of the Canadian Letter of Credit Usage would exceed the Canadian Borrowing Base at such time less the outstanding principal balance of the Dollar Equivalent of the Canadian Revolving Loans (inclusive of Canadian Swing Loans) at such time, or</w:t>
      </w:r>
    </w:p>
    <w:p>
      <w:pPr>
        <w:spacing w:after="0" w:line="15" w:lineRule="exact"/>
        <w:rPr>
          <w:rFonts w:ascii="Arial" w:cs="Arial" w:eastAsia="Arial" w:hAnsi="Arial"/>
          <w:sz w:val="16"/>
          <w:szCs w:val="16"/>
          <w:color w:val="auto"/>
        </w:rPr>
      </w:pPr>
    </w:p>
    <w:p>
      <w:pPr>
        <w:ind w:right="400" w:firstLine="1492"/>
        <w:spacing w:after="0" w:line="308" w:lineRule="auto"/>
        <w:tabs>
          <w:tab w:leader="none" w:pos="178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Dollar Equivalent of the Canadian Letter of Credit Usage would exceed the Maximum Revolver Amount less the sum of the Dollar Equivalent of the outstanding Canadian Revolving Loans, the Dollar Equivalent of UK Revolver Usage and the US Revolver Usage, or</w:t>
      </w:r>
    </w:p>
    <w:p>
      <w:pPr>
        <w:spacing w:after="0" w:line="38" w:lineRule="exact"/>
        <w:rPr>
          <w:rFonts w:ascii="Arial" w:cs="Arial" w:eastAsia="Arial" w:hAnsi="Arial"/>
          <w:sz w:val="17"/>
          <w:szCs w:val="17"/>
          <w:color w:val="auto"/>
        </w:rPr>
      </w:pPr>
    </w:p>
    <w:p>
      <w:pPr>
        <w:ind w:left="1740" w:hanging="248"/>
        <w:spacing w:after="0"/>
        <w:tabs>
          <w:tab w:leader="none" w:pos="17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Dollar Equivalent of the Canadian Letter of Credit Usage plus the Dollar Equivalent of the UK Letter of Credit Usage would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exceed $15,000,000.</w:t>
      </w:r>
    </w:p>
    <w:p>
      <w:pPr>
        <w:spacing w:after="0" w:line="102" w:lineRule="exact"/>
        <w:rPr>
          <w:rFonts w:ascii="Arial" w:cs="Arial" w:eastAsia="Arial" w:hAnsi="Arial"/>
          <w:sz w:val="17"/>
          <w:szCs w:val="17"/>
          <w:color w:val="auto"/>
        </w:rPr>
      </w:pPr>
    </w:p>
    <w:p>
      <w:pPr>
        <w:ind w:firstLine="921"/>
        <w:spacing w:after="0" w:line="257" w:lineRule="auto"/>
        <w:tabs>
          <w:tab w:leader="none" w:pos="115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 the event there is a Defaulting Lender as of the date of any request for the issuance of a Canadian Letter of Credit, Canadian Issuing Lender shall not be required to issue or arrange for such Canadian Letter of Credit or any applicable Canadian Reimbursement Undertaking to the extent (i) the Defaulting Lender’s Canadian Letter of Credit Exposure with respect to such Canadian Letter of Credit may not be reallocated pursuant to </w:t>
      </w:r>
      <w:r>
        <w:rPr>
          <w:rFonts w:ascii="Arial" w:cs="Arial" w:eastAsia="Arial" w:hAnsi="Arial"/>
          <w:sz w:val="18"/>
          <w:szCs w:val="18"/>
          <w:u w:val="single" w:color="auto"/>
          <w:color w:val="auto"/>
        </w:rPr>
        <w:t>Section 2.3(g)(ii)</w:t>
      </w:r>
      <w:r>
        <w:rPr>
          <w:rFonts w:ascii="Arial" w:cs="Arial" w:eastAsia="Arial" w:hAnsi="Arial"/>
          <w:sz w:val="18"/>
          <w:szCs w:val="18"/>
          <w:color w:val="auto"/>
        </w:rPr>
        <w:t>, or (ii) Canadian Issuing Lender has not otherwise entered into arrangements reasonably satisfactory to it and Canadian Borrowers to eliminate Canadian Issuing Lender’s risk with respect to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74" w:right="239" w:bottom="1440" w:gutter="0" w:footer="0" w:header="0"/>
        </w:sectPr>
      </w:pPr>
    </w:p>
    <w:bookmarkStart w:id="134" w:name="page135"/>
    <w:bookmarkEnd w:id="13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participation in such Canadian Letter of Credit or any applicable Canadian Reimbursement Undertaking of the Defaulting Lender, which arrangements may include Canadian Borrowers cash collateralizing such Defaulting Lender’s Canadian Letter of Credit Exposure in accordance with </w:t>
      </w:r>
      <w:r>
        <w:rPr>
          <w:rFonts w:ascii="Arial" w:cs="Arial" w:eastAsia="Arial" w:hAnsi="Arial"/>
          <w:sz w:val="16"/>
          <w:szCs w:val="16"/>
          <w:u w:val="single" w:color="auto"/>
          <w:color w:val="auto"/>
        </w:rPr>
        <w:t>Section 2.3(g)(ii)</w:t>
      </w:r>
      <w:r>
        <w:rPr>
          <w:rFonts w:ascii="Arial" w:cs="Arial" w:eastAsia="Arial" w:hAnsi="Arial"/>
          <w:sz w:val="16"/>
          <w:szCs w:val="16"/>
          <w:color w:val="auto"/>
        </w:rPr>
        <w:t>. Additionally, Canadian Issuing Lender shall have no obligation to issue or extend a Canadian Letter of Credit or a Canadian Reimbursement Undertaking in respect of a Canadian Letter of Credit if (A) any order, judgment, or decree of any Governmental Authority or arbitrator shall, by its terms, purport to enjoin or restrain Canadian Issuing Lender from issuing such Canadian Letter of Credit or a Canadian Reimbursement Undertaking, or a Canadian Underlying Issuer from issuing such Canadian Letter of Credit, or any law applicable to Canadian Issuing Lender or Canadian Underlying Issuer or any request or directive (whether or not having the force of law) from any Governmental Authority with jurisdiction over Canadian Issuing Lender or Canadian Underlying Issuer shall prohibit or request that Canadian Issuing Lender or Canadian Underlying Issuer refrain from the issuance of letters of credit generally or such Canadian Letter of Credit or a Canadian Reimbursement Undertaking in particular, (B) the issuance of such Canadian Letter of Credit or Canadian Reimbursement Undertaking would violate one or more policies of Canadian Issuing Lender or Canadian Underlying Issuer applicable to letters of credit generally, or</w:t>
      </w:r>
    </w:p>
    <w:p>
      <w:pPr>
        <w:spacing w:after="0" w:line="6" w:lineRule="exact"/>
        <w:rPr>
          <w:sz w:val="20"/>
          <w:szCs w:val="20"/>
          <w:color w:val="auto"/>
        </w:rPr>
      </w:pPr>
    </w:p>
    <w:p>
      <w:pPr>
        <w:ind w:left="300" w:hanging="292"/>
        <w:spacing w:after="0"/>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amounts demanded to be paid under any Canadian Letter of Credit will not or may not be in United States Dollars or Canadian Dollars.</w:t>
      </w:r>
    </w:p>
    <w:p>
      <w:pPr>
        <w:spacing w:after="0" w:line="102" w:lineRule="exact"/>
        <w:rPr>
          <w:rFonts w:ascii="Arial" w:cs="Arial" w:eastAsia="Arial" w:hAnsi="Arial"/>
          <w:sz w:val="18"/>
          <w:szCs w:val="18"/>
          <w:color w:val="auto"/>
        </w:rPr>
      </w:pPr>
    </w:p>
    <w:p>
      <w:pPr>
        <w:ind w:firstLine="921"/>
        <w:spacing w:after="0" w:line="286" w:lineRule="auto"/>
        <w:tabs>
          <w:tab w:leader="none" w:pos="116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Any Canadian Issuing Lender (other than WF Canada or any of its Affiliates) shall notify Agent in writing no later than the Business Day prior to the Business Day on which such Canadian Issuing Lender issues any Canadian Letter of Credit or Canadian Reimbursement Undertaking. In addition, each Canadian Issuing Lender (other than WF Canada or any of its Affiliates) shall, on the first Business Day of each week, submit to Agent a report detailing the daily undrawn amount of each Canadian Letter of Credit issued by such Canadian Issuing Lender during the prior calendar week. Each Canadian Letter of Credit shall be in form and substance reasonably acceptable to Canadian Issuing Lender and Canadian Underlying Issuer, including the requirement that the amounts payable thereunder must be payable in Dollars or Canadian Dollars. If Canadian Issuing Lender makes a payment under a Canadian Letter of Credit or a Canadian Reimbursement Undertaking, Canadian Borrowers shall pay to Agent an amount equal to the applicable Canadian Letter of Credit Disbursement on the Business Day such Canadian Letter of Credit Disbursement is made and, in the absence of such payment, the amount of the Canadian Letter of Credit Disbursement immediately and automatically shall be deemed to be a Canadian Revolving Loan hereunder (notwithstanding any failure to satisfy any condition precedent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initially, shall bear interest at the rate then applicable to Canadian Revolving Loans that are Base Rate Loans. If a Canadian Letter of Credit Disbursement is deemed to be a Canadian Revolving Loan hereunder, Canadian Borrowers’ obligation to pay the amount of such Canadian Letter of Credit Disbursement to Canadian Issuing Lender shall be automatically converted into an obligation to pay the resulting Canadian Revolving Loan. Promptly following receipt by Agent of any payment from Canadian Borrowers pursuant to this paragraph, Agent shall distribute such payment to Canadian Issuing Lender or, to the extent that any Revolving Lenders have made payments pursuant to </w:t>
      </w:r>
      <w:r>
        <w:rPr>
          <w:rFonts w:ascii="Arial" w:cs="Arial" w:eastAsia="Arial" w:hAnsi="Arial"/>
          <w:sz w:val="16"/>
          <w:szCs w:val="16"/>
          <w:u w:val="single" w:color="auto"/>
          <w:color w:val="auto"/>
        </w:rPr>
        <w:t>Section 2.11B(e)</w:t>
      </w:r>
      <w:r>
        <w:rPr>
          <w:rFonts w:ascii="Arial" w:cs="Arial" w:eastAsia="Arial" w:hAnsi="Arial"/>
          <w:sz w:val="16"/>
          <w:szCs w:val="16"/>
          <w:color w:val="auto"/>
        </w:rPr>
        <w:t xml:space="preserve"> to reimburse Canadian Issuing Lender, then to such Revolving Lenders and Canadian Issuing Lender as their interests may appear.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74" w:right="259" w:bottom="1440" w:gutter="0" w:footer="0" w:header="0"/>
        </w:sectPr>
      </w:pPr>
    </w:p>
    <w:bookmarkStart w:id="135" w:name="page136"/>
    <w:bookmarkEnd w:id="135"/>
    <w:p>
      <w:pPr>
        <w:ind w:left="-20" w:firstLine="921"/>
        <w:spacing w:after="0" w:line="284" w:lineRule="auto"/>
        <w:tabs>
          <w:tab w:leader="none" w:pos="1138" w:val="left"/>
        </w:tabs>
        <w:numPr>
          <w:ilvl w:val="0"/>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following receipt of a notice of a Canadian Letter of Credit Disbursement pursuant to </w:t>
      </w:r>
      <w:r>
        <w:rPr>
          <w:rFonts w:ascii="Arial" w:cs="Arial" w:eastAsia="Arial" w:hAnsi="Arial"/>
          <w:sz w:val="16"/>
          <w:szCs w:val="16"/>
          <w:u w:val="single" w:color="auto"/>
          <w:color w:val="auto"/>
        </w:rPr>
        <w:t>Section 2.11B(d)</w:t>
      </w:r>
      <w:r>
        <w:rPr>
          <w:rFonts w:ascii="Arial" w:cs="Arial" w:eastAsia="Arial" w:hAnsi="Arial"/>
          <w:sz w:val="16"/>
          <w:szCs w:val="16"/>
          <w:color w:val="auto"/>
        </w:rPr>
        <w:t xml:space="preserve">, each Revolving Lender agrees to fund its Pro Rata Share of any Canadian Revolving Loan deemed made pursuant to </w:t>
      </w:r>
      <w:r>
        <w:rPr>
          <w:rFonts w:ascii="Arial" w:cs="Arial" w:eastAsia="Arial" w:hAnsi="Arial"/>
          <w:sz w:val="16"/>
          <w:szCs w:val="16"/>
          <w:u w:val="single" w:color="auto"/>
          <w:color w:val="auto"/>
        </w:rPr>
        <w:t>Section 2.11B(d)</w:t>
      </w:r>
      <w:r>
        <w:rPr>
          <w:rFonts w:ascii="Arial" w:cs="Arial" w:eastAsia="Arial" w:hAnsi="Arial"/>
          <w:sz w:val="16"/>
          <w:szCs w:val="16"/>
          <w:color w:val="auto"/>
        </w:rPr>
        <w:t xml:space="preserve"> on the same terms and conditions as if Canadian Borrowers had requested the amount thereof as a Canadian Revolving Loan and Agent shall promptly pay to Canadian Issuing Lender the amounts so received by it from the Revolving Lenders. By the issuance of a Canadian Letter of Credit or Canadian Reimbursement Undertaking (or an amendment, renewal, or extension of a Canadian Letter of Credit or Canadian Reimbursement Undertaking) and without any further action on the part of Canadian Issuing Lender or the Revolving Lenders, Canadian Issuing Lender shall be deemed to have granted to each Revolving Lender with a Canadian Revolver Commitment, and each Revolving Lender with a Canadian Revolver Commitment shall be deemed to have purchased, a participation in each Canadian Letter of Credit issued by Canadian Issuing Lender and each Canadian Reimbursement Undertaking, in an amount equal to its Pro Rata Share of such Canadian Letter of Credit or Canadian Reimbursement Undertaking, and each such Revolving Lender agrees to pay to Agent, for the account of Canadian Issuing Lender, such Revolving Lender’s Pro Rata Share of any Canadian Letter of Credit Disbursement made by Canadian Issuing Lender under the applicable Canadian Letter of Credit. In consideration and in furtherance of the foregoing, each Revolving Lender with a Canadian Revolver Commitment hereby absolutely and unconditionally agrees to pay to Agent, for the account of Canadian Issuing Lender, such Revolving Lender’s Pro Rata Share of each Canadian Letter of Credit Disbursement made by Canadian Issuing Lender and not reimbursed by Canadian Borrowers on the date due as provided in </w:t>
      </w:r>
      <w:r>
        <w:rPr>
          <w:rFonts w:ascii="Arial" w:cs="Arial" w:eastAsia="Arial" w:hAnsi="Arial"/>
          <w:sz w:val="16"/>
          <w:szCs w:val="16"/>
          <w:u w:val="single" w:color="auto"/>
          <w:color w:val="auto"/>
        </w:rPr>
        <w:t>Section 2.11B(d)</w:t>
      </w:r>
      <w:r>
        <w:rPr>
          <w:rFonts w:ascii="Arial" w:cs="Arial" w:eastAsia="Arial" w:hAnsi="Arial"/>
          <w:sz w:val="16"/>
          <w:szCs w:val="16"/>
          <w:color w:val="auto"/>
        </w:rPr>
        <w:t xml:space="preserve">, or of any reimbursement payment that is required to be refunded (or that Agent or Canadian Issuing Lender elects, based upon the advice of counsel, to refund) to Canadian Borrowers for any reason. Each Revolving Lender with a Canadian Revolver Commitment acknowledges and agrees that its obligation to deliver to Agent, for the account of Canadian Issuing Lender, an amount equal to its respective Pro Rata Share of each Canadian Letter of Credit Disbursement pursuant to this </w:t>
      </w:r>
      <w:r>
        <w:rPr>
          <w:rFonts w:ascii="Arial" w:cs="Arial" w:eastAsia="Arial" w:hAnsi="Arial"/>
          <w:sz w:val="16"/>
          <w:szCs w:val="16"/>
          <w:u w:val="single" w:color="auto"/>
          <w:color w:val="auto"/>
        </w:rPr>
        <w:t>Section 2.11B(e)</w:t>
      </w:r>
      <w:r>
        <w:rPr>
          <w:rFonts w:ascii="Arial" w:cs="Arial" w:eastAsia="Arial" w:hAnsi="Arial"/>
          <w:sz w:val="16"/>
          <w:szCs w:val="16"/>
          <w:color w:val="auto"/>
        </w:rPr>
        <w:t xml:space="preserve"> shall be absolute and unconditional and such remittance shall be made notwithstanding the occurrence or continuation of an Event of Default or Default or the failure to satisfy any condition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If any such Revolving Lender fails to make available to Agent the amount of such Revolving Lender’s Pro Rata Share of a Canadian Letter of Credit Disbursement as provided in this Section, such Revolving Lender shall be deemed to be a Defaulting Lender and Agent (for the account of Canadian Issuing Lender) shall be entitled to recover such amount on demand from such Revolving Lender together with interest thereon at the Defaulting Lender Rate until paid in full.</w:t>
      </w:r>
    </w:p>
    <w:p>
      <w:pPr>
        <w:spacing w:after="0" w:line="73" w:lineRule="exact"/>
        <w:rPr>
          <w:rFonts w:ascii="Arial" w:cs="Arial" w:eastAsia="Arial" w:hAnsi="Arial"/>
          <w:sz w:val="16"/>
          <w:szCs w:val="16"/>
          <w:color w:val="auto"/>
        </w:rPr>
      </w:pPr>
    </w:p>
    <w:p>
      <w:pPr>
        <w:ind w:left="-20" w:right="320" w:firstLine="921"/>
        <w:spacing w:after="0" w:line="277" w:lineRule="auto"/>
        <w:tabs>
          <w:tab w:leader="none" w:pos="111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Canadian Borrowers agree to indemnify, defend and hold harmless each Letter of Credit Related Person (to the fullest extent permitted by law) from and against any Letter of Credit Indemnified Costs, and which arise out of or in connection with, or as a result of:</w:t>
      </w:r>
    </w:p>
    <w:p>
      <w:pPr>
        <w:spacing w:after="0" w:line="62" w:lineRule="exact"/>
        <w:rPr>
          <w:rFonts w:ascii="Arial" w:cs="Arial" w:eastAsia="Arial" w:hAnsi="Arial"/>
          <w:sz w:val="18"/>
          <w:szCs w:val="18"/>
          <w:color w:val="auto"/>
        </w:rPr>
      </w:pPr>
    </w:p>
    <w:p>
      <w:pPr>
        <w:ind w:left="1680" w:hanging="208"/>
        <w:spacing w:after="0"/>
        <w:tabs>
          <w:tab w:leader="none" w:pos="16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Canadian Letter of Credit or Canadian Reimbursement Undertaking or any pre-advice of its issuance;</w:t>
      </w:r>
    </w:p>
    <w:p>
      <w:pPr>
        <w:spacing w:after="0" w:line="117" w:lineRule="exact"/>
        <w:rPr>
          <w:rFonts w:ascii="Arial" w:cs="Arial" w:eastAsia="Arial" w:hAnsi="Arial"/>
          <w:sz w:val="18"/>
          <w:szCs w:val="18"/>
          <w:color w:val="auto"/>
        </w:rPr>
      </w:pPr>
    </w:p>
    <w:p>
      <w:pPr>
        <w:ind w:left="-20" w:right="360" w:firstLine="1492"/>
        <w:spacing w:after="0" w:line="277" w:lineRule="auto"/>
        <w:tabs>
          <w:tab w:leader="none" w:pos="17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transfer, sale, delivery, surrender or endorsement (or lack thereof) of any Drawing Document at any time(s) held by any such Letter of Credit Related Person in connection with any Canadian Letter of Credit or Canadian Reimbursement Undertaking;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60" w:top="274" w:right="259" w:bottom="1440" w:gutter="0" w:footer="0" w:header="0"/>
        </w:sectPr>
      </w:pPr>
    </w:p>
    <w:bookmarkStart w:id="136" w:name="page137"/>
    <w:bookmarkEnd w:id="136"/>
    <w:p>
      <w:pPr>
        <w:ind w:left="-120" w:right="20" w:firstLine="1492"/>
        <w:spacing w:after="0" w:line="259" w:lineRule="auto"/>
        <w:tabs>
          <w:tab w:leader="none" w:pos="16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action or proceeding arising out of, or in connection with, any Canadian Letter of Credit or Canadian Reimbursement Undertaking (whether administrative, judicial or in connection with arbitration), including any action or proceeding to compel or restrain any presentation or payment under any Canadian Letter of Credit or Canadian Reimbursement Undertaking, or for the wrongful dishonor of, or honoring a presentation under, any Canadian Letter of Credit;</w:t>
      </w:r>
    </w:p>
    <w:p>
      <w:pPr>
        <w:spacing w:after="0" w:line="78" w:lineRule="exact"/>
        <w:rPr>
          <w:rFonts w:ascii="Arial" w:cs="Arial" w:eastAsia="Arial" w:hAnsi="Arial"/>
          <w:sz w:val="18"/>
          <w:szCs w:val="18"/>
          <w:color w:val="auto"/>
        </w:rPr>
      </w:pPr>
    </w:p>
    <w:p>
      <w:pPr>
        <w:ind w:left="1680" w:hanging="308"/>
        <w:spacing w:after="0"/>
        <w:tabs>
          <w:tab w:leader="none" w:pos="1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independent undertakings issued by the beneficiary of any Canadian Letter of Credit;</w:t>
      </w:r>
    </w:p>
    <w:p>
      <w:pPr>
        <w:spacing w:after="0" w:line="117" w:lineRule="exact"/>
        <w:rPr>
          <w:rFonts w:ascii="Arial" w:cs="Arial" w:eastAsia="Arial" w:hAnsi="Arial"/>
          <w:sz w:val="18"/>
          <w:szCs w:val="18"/>
          <w:color w:val="auto"/>
        </w:rPr>
      </w:pPr>
    </w:p>
    <w:p>
      <w:pPr>
        <w:ind w:left="-120" w:firstLine="1492"/>
        <w:spacing w:after="0" w:line="259" w:lineRule="auto"/>
        <w:tabs>
          <w:tab w:leader="none" w:pos="16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unauthorized instruction or request made to Canadian Issuing Lender or Canadian Underlying Issuer in connection with any Canadian Letter of Credit or Canadian Reimbursement Undertaking or requested Canadian Letter of Credit or Canadian Reimbursement Undertaking, or any error, omission, interruption or delay in such instruction or request, whether transmitted by mail, courier, electronic transmission, SWIFT, or any other telecommunication including communications through a correspondent;</w:t>
      </w:r>
    </w:p>
    <w:p>
      <w:pPr>
        <w:spacing w:after="0" w:line="78" w:lineRule="exact"/>
        <w:rPr>
          <w:rFonts w:ascii="Arial" w:cs="Arial" w:eastAsia="Arial" w:hAnsi="Arial"/>
          <w:sz w:val="18"/>
          <w:szCs w:val="18"/>
          <w:color w:val="auto"/>
        </w:rPr>
      </w:pPr>
    </w:p>
    <w:p>
      <w:pPr>
        <w:ind w:left="-120" w:right="380" w:firstLine="1492"/>
        <w:spacing w:after="0" w:line="277" w:lineRule="auto"/>
        <w:tabs>
          <w:tab w:leader="none" w:pos="16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adviser, confirmer or other nominated person seeking to be reimbursed, indemnified or compensated in connection with any Canadian Letter of Credit or Canadian Reimbursement Undertaking;</w:t>
      </w:r>
    </w:p>
    <w:p>
      <w:pPr>
        <w:spacing w:after="0" w:line="62" w:lineRule="exact"/>
        <w:rPr>
          <w:rFonts w:ascii="Arial" w:cs="Arial" w:eastAsia="Arial" w:hAnsi="Arial"/>
          <w:sz w:val="18"/>
          <w:szCs w:val="18"/>
          <w:color w:val="auto"/>
        </w:rPr>
      </w:pPr>
    </w:p>
    <w:p>
      <w:pPr>
        <w:ind w:left="-120" w:right="60" w:firstLine="1492"/>
        <w:spacing w:after="0" w:line="277" w:lineRule="auto"/>
        <w:tabs>
          <w:tab w:leader="none" w:pos="17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third party seeking to enforce the rights of an applicant, beneficiary, nominated person, transferee, assignee of Canadian Letter of Credit proceeds or holder of an instrument or document;</w:t>
      </w:r>
    </w:p>
    <w:p>
      <w:pPr>
        <w:spacing w:after="0" w:line="62" w:lineRule="exact"/>
        <w:rPr>
          <w:rFonts w:ascii="Arial" w:cs="Arial" w:eastAsia="Arial" w:hAnsi="Arial"/>
          <w:sz w:val="18"/>
          <w:szCs w:val="18"/>
          <w:color w:val="auto"/>
        </w:rPr>
      </w:pPr>
    </w:p>
    <w:p>
      <w:pPr>
        <w:ind w:left="-120" w:right="760" w:firstLine="1492"/>
        <w:spacing w:after="0" w:line="277" w:lineRule="auto"/>
        <w:tabs>
          <w:tab w:leader="none" w:pos="17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fraud, forgery or illegal action of parties in connection with a Canadian Letter of Credit or Canadian Reimbursement Undertaking other than the Letter of Credit Related Person;</w:t>
      </w:r>
    </w:p>
    <w:p>
      <w:pPr>
        <w:spacing w:after="0" w:line="62" w:lineRule="exact"/>
        <w:rPr>
          <w:rFonts w:ascii="Arial" w:cs="Arial" w:eastAsia="Arial" w:hAnsi="Arial"/>
          <w:sz w:val="18"/>
          <w:szCs w:val="18"/>
          <w:color w:val="auto"/>
        </w:rPr>
      </w:pPr>
    </w:p>
    <w:p>
      <w:pPr>
        <w:jc w:val="both"/>
        <w:ind w:left="-120" w:firstLine="1492"/>
        <w:spacing w:after="0" w:line="264" w:lineRule="auto"/>
        <w:tabs>
          <w:tab w:leader="none" w:pos="16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prohibition on payment or delay in payment of any amount payable by Canadian Issuing Lender or Canadian Underlying Issuer to a beneficiary or transferee beneficiary of a Canadian Letter of Credit or Canadian Reimbursement Undertaking arising out of Anti-Corruption Laws, Anti-Money Laundering Laws, or Sanctions;</w:t>
      </w:r>
    </w:p>
    <w:p>
      <w:pPr>
        <w:spacing w:after="0" w:line="73" w:lineRule="exact"/>
        <w:rPr>
          <w:rFonts w:ascii="Arial" w:cs="Arial" w:eastAsia="Arial" w:hAnsi="Arial"/>
          <w:sz w:val="18"/>
          <w:szCs w:val="18"/>
          <w:color w:val="auto"/>
        </w:rPr>
      </w:pPr>
    </w:p>
    <w:p>
      <w:pPr>
        <w:ind w:left="-120" w:right="100" w:firstLine="1492"/>
        <w:spacing w:after="0" w:line="277" w:lineRule="auto"/>
        <w:tabs>
          <w:tab w:leader="none" w:pos="16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Canadian Issuing Lender’s or Canadian Underlying Issuer’s performance of the obligations of a confirming institution or entity that wrongfully dishonors a confirmation in connection with a Canadian Letter of Credit;</w:t>
      </w:r>
    </w:p>
    <w:p>
      <w:pPr>
        <w:spacing w:after="0" w:line="62" w:lineRule="exact"/>
        <w:rPr>
          <w:rFonts w:ascii="Arial" w:cs="Arial" w:eastAsia="Arial" w:hAnsi="Arial"/>
          <w:sz w:val="18"/>
          <w:szCs w:val="18"/>
          <w:color w:val="auto"/>
        </w:rPr>
      </w:pPr>
    </w:p>
    <w:p>
      <w:pPr>
        <w:ind w:left="1680" w:hanging="308"/>
        <w:spacing w:after="0"/>
        <w:tabs>
          <w:tab w:leader="none" w:pos="1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foreign language translation provided to Canadian Issuing Lender in connection with any Canadian Letter of Credit;</w:t>
      </w:r>
    </w:p>
    <w:p>
      <w:pPr>
        <w:spacing w:after="0" w:line="117" w:lineRule="exact"/>
        <w:rPr>
          <w:rFonts w:ascii="Arial" w:cs="Arial" w:eastAsia="Arial" w:hAnsi="Arial"/>
          <w:sz w:val="18"/>
          <w:szCs w:val="18"/>
          <w:color w:val="auto"/>
        </w:rPr>
      </w:pPr>
    </w:p>
    <w:p>
      <w:pPr>
        <w:ind w:left="-120" w:right="80" w:firstLine="1492"/>
        <w:spacing w:after="0" w:line="259" w:lineRule="auto"/>
        <w:tabs>
          <w:tab w:leader="none" w:pos="17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foreign law or usage as it relates to Canadian Issuing Lender’s or Canadian Underlying Issuer’s issuance of a Canadian Letter of Credit or Canadian Reimbursement Undertaking in support of a foreign guaranty including without limitation the expiration of such guaranty after the related Canadian Letter of Credit or Canadian Reimbursement Undertaking expiration date and any resulting drawing paid by Canadian Issuing Lender or Canadian Underlying Issuer in connection therewith;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60" w:top="274" w:right="339" w:bottom="1440" w:gutter="0" w:footer="0" w:header="0"/>
        </w:sectPr>
      </w:pPr>
    </w:p>
    <w:bookmarkStart w:id="137" w:name="page138"/>
    <w:bookmarkEnd w:id="137"/>
    <w:p>
      <w:pPr>
        <w:ind w:right="20" w:firstLine="1492"/>
        <w:spacing w:after="0" w:line="342" w:lineRule="auto"/>
        <w:tabs>
          <w:tab w:leader="none" w:pos="1888"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acts or omissions, whether rightful or wrongful, of any present or future de jure or de facto governmental or regulatory authority or cause or event beyond the control of the Letter of Credit Related Person related to a Canadian Letter of Credit or Canadian Reimbursement Undertaking;</w:t>
      </w:r>
    </w:p>
    <w:p>
      <w:pPr>
        <w:spacing w:after="0" w:line="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bad faith or willful misconduct of the Letter of Credit Related Person claiming indemnity. Canadian Borrowers hereby agree to pay the Letter of Credit Related Person claiming indemnity on demand from time to time all amounts owing under this </w:t>
      </w:r>
      <w:r>
        <w:rPr>
          <w:rFonts w:ascii="Arial" w:cs="Arial" w:eastAsia="Arial" w:hAnsi="Arial"/>
          <w:sz w:val="17"/>
          <w:szCs w:val="17"/>
          <w:u w:val="single" w:color="auto"/>
          <w:color w:val="auto"/>
        </w:rPr>
        <w:t>Section 2.11B(f)</w:t>
      </w:r>
      <w:r>
        <w:rPr>
          <w:rFonts w:ascii="Arial" w:cs="Arial" w:eastAsia="Arial" w:hAnsi="Arial"/>
          <w:sz w:val="17"/>
          <w:szCs w:val="17"/>
          <w:color w:val="auto"/>
        </w:rPr>
        <w:t xml:space="preserve">. If and to the extent that the obligations of Canadian Borrowers under this </w:t>
      </w:r>
      <w:r>
        <w:rPr>
          <w:rFonts w:ascii="Arial" w:cs="Arial" w:eastAsia="Arial" w:hAnsi="Arial"/>
          <w:sz w:val="17"/>
          <w:szCs w:val="17"/>
          <w:u w:val="single" w:color="auto"/>
          <w:color w:val="auto"/>
        </w:rPr>
        <w:t>Section 2.11B(f)</w:t>
      </w:r>
      <w:r>
        <w:rPr>
          <w:rFonts w:ascii="Arial" w:cs="Arial" w:eastAsia="Arial" w:hAnsi="Arial"/>
          <w:sz w:val="17"/>
          <w:szCs w:val="17"/>
          <w:color w:val="auto"/>
        </w:rPr>
        <w:t xml:space="preserve"> are unenforceable for any reason, Canadian Borrowers agree to make the maximum contribution to the Letter of Credit Indemnified Costs permissible under applicable law. This indemnification provision shall survive termination of this Agreement and all Canadian Letters of Credit or Canadian Reimbursement Undertakings.</w:t>
      </w:r>
    </w:p>
    <w:p>
      <w:pPr>
        <w:spacing w:after="0" w:line="70" w:lineRule="exact"/>
        <w:rPr>
          <w:sz w:val="20"/>
          <w:szCs w:val="20"/>
          <w:color w:val="auto"/>
        </w:rPr>
      </w:pPr>
    </w:p>
    <w:p>
      <w:pPr>
        <w:ind w:firstLine="921"/>
        <w:spacing w:after="0" w:line="286" w:lineRule="auto"/>
        <w:tabs>
          <w:tab w:leader="none" w:pos="116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liability of Canadian Issuing Lender (or any other Letter of Credit Related Person) under, in connection with or arising out of any Canadian Letter of Credit or Canadian Reimbursement Undertaking (or pre-advice), regardless of the form or legal grounds of the action or proceeding, shall be limited to direct damages suffered by Canadian Borrowers that are caused by Canadian Issuing Lender’s gross negligence, bad faith or willful misconduct in (i) honoring a presentation under a Canadian Letter of Credit that on its face does not at least substantially comply with the terms and conditions of such Canadian Letter of Credit, (ii) failing to honor a presentation under a Canadian Letter of Credit that strictly complies with the terms and conditions of such Canadian Letter of Credit or (iii) retaining Drawing Documents presented under a Canadian Letter of Credit. Canadian Borrowers’ aggregate remedies against Canadian Issuing Lender and any Canadian Letter of Credit Related Person for wrongfully honoring a presentation under any Canadian Letter of Credit or wrongfully retaining honored Drawing Documents shall in no event exceed the aggregate amount paid by Canadian Borrowers to Canadian Issuing Lender in respect of the honored presentation in connection with such Canadian Letter of Credit under </w:t>
      </w:r>
      <w:r>
        <w:rPr>
          <w:rFonts w:ascii="Arial" w:cs="Arial" w:eastAsia="Arial" w:hAnsi="Arial"/>
          <w:sz w:val="16"/>
          <w:szCs w:val="16"/>
          <w:u w:val="single" w:color="auto"/>
          <w:color w:val="auto"/>
        </w:rPr>
        <w:t>Section 2.11B(d)</w:t>
      </w:r>
      <w:r>
        <w:rPr>
          <w:rFonts w:ascii="Arial" w:cs="Arial" w:eastAsia="Arial" w:hAnsi="Arial"/>
          <w:sz w:val="16"/>
          <w:szCs w:val="16"/>
          <w:color w:val="auto"/>
        </w:rPr>
        <w:t>, plus interest at the rate then applicable to Canadian Revolving Loans that are Base Rate Loans hereunder. Canadian Borrowers shall take action to avoid and mitigate the amount of any damages claimed against Canadian Issuing Lender or any other Canadian Letter of Credit Related Person, including by enforcing its rights against the beneficiaries of the Canadian Letters of Credit. Any claim by Canadian Borrowers under or in connection with any Canadian Letter of Credit shall be reduced by an amount equal to the sum of (x) the amount (if any) saved by Canadian Borrowers as a result of the breach or alleged wrongful conduct complained of, and (y) the amount (if any) of the loss that would have been avoided had Canadian Borrowers taken all reasonable steps to mitigate any loss, and in case of a claim of wrongful dishonor, by specifically and timely authorizing Canadian Issuing Lender or Canadian Underlying Issuer to effect a cure.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74" w:right="239" w:bottom="1440" w:gutter="0" w:footer="0" w:header="0"/>
        </w:sectPr>
      </w:pPr>
    </w:p>
    <w:bookmarkStart w:id="138" w:name="page139"/>
    <w:bookmarkEnd w:id="138"/>
    <w:p>
      <w:pPr>
        <w:ind w:left="-8" w:right="40" w:firstLine="921"/>
        <w:spacing w:after="0" w:line="283" w:lineRule="auto"/>
        <w:tabs>
          <w:tab w:leader="none" w:pos="11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Borrowers are responsible for the final text of the Canadian Letter of Credit as issued by Canadian Issuing Lender or Canadian Underlying Issuer, irrespective of any assistance Canadian Issuing Lender or Canadian Underlying Issuer may provide such as drafting or recommending text or by Canadian Issuing Lender’s or Canadian Underlying Issuer’s use or refusal to use text submitted by Canadian Borrowers. Canadian Borrowers understand that the final form of any Canadian Letter of Credit may be subject to such revisions and changes as are deemed necessary or appropriate by Canadian Issuing Lender or Canadian Underlying Issuer, and Canadian Borrowers hereby consent to such revisions and changes not materially different from the application executed in connection therewith. Canadian Borrowers are solely responsible for the suitability of the Canadian Letter of Credit for Canadian Borrowers’ purposes. If Canadian Borrowers request Canadian Issuing Lender to issue a Canadian Letter of Credit for an Account Party, (i) such Account Party shall have no rights against Canadian Issuing Lender or Canadian Underlying Issuer; (ii) Canadian Borrowers shall be responsible for the application and obligations under this Agreement; and (iii) communications (including notices) related to the respective Canadian Letter of Credit shall be among Canadian Issuing Lender, Canadian Underlying Issuer and Canadian Borrowers. Canadian Borrowers will examine the copy of the Canadian Letter of Credit and any other documents sent by Canadian Issuing Lender in connection therewith and shall promptly notify Canadian Issuing Lender (not later than three</w:t>
      </w:r>
    </w:p>
    <w:p>
      <w:pPr>
        <w:spacing w:after="0" w:line="4" w:lineRule="exact"/>
        <w:rPr>
          <w:rFonts w:ascii="Arial" w:cs="Arial" w:eastAsia="Arial" w:hAnsi="Arial"/>
          <w:sz w:val="16"/>
          <w:szCs w:val="16"/>
          <w:color w:val="auto"/>
        </w:rPr>
      </w:pPr>
    </w:p>
    <w:p>
      <w:pPr>
        <w:ind w:left="-8" w:firstLine="8"/>
        <w:spacing w:after="0" w:line="268" w:lineRule="auto"/>
        <w:tabs>
          <w:tab w:leader="none" w:pos="24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Business Days following Canadian Borrowers’ receipt of documents from Canadian Issuing Lender) of any non-compliance with Canadian Borrowers’ instructions and of any discrepancy in any document under any presentment or other irregularity. Canadian Borrowers understand and agree that neither Canadian Issuing Lender nor Canadian Underlying Issuer is required to extend the expiration date of any Canadian Letter of Credit or Canadian Reimbursement Undertaking for any reason. With respect to any Canadian Letter of Credit or Canadian Reimbursement Undertaking containing an “automatic amendment” to extend the expiration date of such Canadian Letter of Credit or Canadian Reimbursement Undertaking, Canadian Issuing Lender or Canadian Underlying Issuer, in its sole and absolute discretion, may give notice of nonrenewal of such Canadian Letter of Credit or Canadian Reimbursement Undertaking and, if Canadian Borrowers do not at any time want the then current expiration date of such Canadian Letter of Credit or Canadian Reimbursement Undertaking to be extended, Canadian Borrowers will so notify Agent and Canadian Issuing Lender at least 30 calendar days before Canadian Issuing Lender is required to notify the beneficiary of such Canadian Letter of Credit or any advising bank of such non-extension pursuant to the terms of such Canadian Letter of Credit.</w:t>
      </w:r>
    </w:p>
    <w:p>
      <w:pPr>
        <w:spacing w:after="0" w:line="71" w:lineRule="exact"/>
        <w:rPr>
          <w:rFonts w:ascii="Arial" w:cs="Arial" w:eastAsia="Arial" w:hAnsi="Arial"/>
          <w:sz w:val="17"/>
          <w:szCs w:val="17"/>
          <w:color w:val="auto"/>
        </w:rPr>
      </w:pPr>
    </w:p>
    <w:p>
      <w:pPr>
        <w:ind w:left="-8" w:right="120" w:firstLine="921"/>
        <w:spacing w:after="0" w:line="308" w:lineRule="auto"/>
        <w:tabs>
          <w:tab w:leader="none" w:pos="112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Canadian Borrowers’ reimbursement and payment obligations under this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are absolute, unconditional and irrevocable and shall be performed strictly in accordance with the terms of this Agreement under any and all circumstances whatsoever, including:</w:t>
      </w:r>
    </w:p>
    <w:p>
      <w:pPr>
        <w:spacing w:after="0" w:line="38" w:lineRule="exact"/>
        <w:rPr>
          <w:rFonts w:ascii="Arial" w:cs="Arial" w:eastAsia="Arial" w:hAnsi="Arial"/>
          <w:sz w:val="17"/>
          <w:szCs w:val="17"/>
          <w:color w:val="auto"/>
        </w:rPr>
      </w:pPr>
    </w:p>
    <w:p>
      <w:pPr>
        <w:ind w:left="-8" w:right="240" w:firstLine="1492"/>
        <w:spacing w:after="0" w:line="277" w:lineRule="auto"/>
        <w:tabs>
          <w:tab w:leader="none" w:pos="169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any lack of validity, enforceability or legal effect of any Canadian Letter of Credit, any Canadian Reimbursement Undertaking, any Issuer Document, this Agreement or any Loan Document or any term or provision therein or herein;</w:t>
      </w:r>
    </w:p>
    <w:p>
      <w:pPr>
        <w:spacing w:after="0" w:line="62" w:lineRule="exact"/>
        <w:rPr>
          <w:rFonts w:ascii="Arial" w:cs="Arial" w:eastAsia="Arial" w:hAnsi="Arial"/>
          <w:sz w:val="18"/>
          <w:szCs w:val="18"/>
          <w:color w:val="auto"/>
        </w:rPr>
      </w:pPr>
    </w:p>
    <w:p>
      <w:pPr>
        <w:jc w:val="both"/>
        <w:ind w:left="-8" w:firstLine="1492"/>
        <w:spacing w:after="0" w:line="259" w:lineRule="auto"/>
        <w:tabs>
          <w:tab w:leader="none" w:pos="174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payment against presentation of any draft, demand or claim for payment under any Drawing Document that does not comply in whole or in part with the terms of the applicable Canadian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Canadian Letter of Credit;</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92"/>
          </w:cols>
          <w:pgMar w:left="248" w:top="274" w:right="259" w:bottom="1440" w:gutter="0" w:footer="0" w:header="0"/>
        </w:sectPr>
      </w:pPr>
    </w:p>
    <w:bookmarkStart w:id="139" w:name="page140"/>
    <w:bookmarkEnd w:id="139"/>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 Canadian Issuing Lender or any of its branches or Affiliates or Canadian Underlying Issuer being the beneficiary of any Canadian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w:t>
      </w:r>
    </w:p>
    <w:p>
      <w:pPr>
        <w:spacing w:after="0" w:line="103" w:lineRule="exact"/>
        <w:rPr>
          <w:sz w:val="20"/>
          <w:szCs w:val="20"/>
          <w:color w:val="auto"/>
        </w:rPr>
      </w:pPr>
    </w:p>
    <w:p>
      <w:pPr>
        <w:jc w:val="both"/>
        <w:ind w:right="180" w:firstLine="1492"/>
        <w:spacing w:after="0" w:line="264" w:lineRule="auto"/>
        <w:tabs>
          <w:tab w:leader="none" w:pos="17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Canadian Issuing Lender or any correspondent or Canadian Underlying Issuer honoring a drawing against a Drawing Document up to the amount available under any Canadian Letter of Credit even if such Drawing Document claims an amount in excess of the amount available under the Canadian Letter of Credit;</w:t>
      </w:r>
    </w:p>
    <w:p>
      <w:pPr>
        <w:spacing w:after="0" w:line="73" w:lineRule="exact"/>
        <w:rPr>
          <w:rFonts w:ascii="Arial" w:cs="Arial" w:eastAsia="Arial" w:hAnsi="Arial"/>
          <w:sz w:val="18"/>
          <w:szCs w:val="18"/>
          <w:color w:val="auto"/>
        </w:rPr>
      </w:pPr>
    </w:p>
    <w:p>
      <w:pPr>
        <w:ind w:right="40" w:firstLine="1492"/>
        <w:spacing w:after="0" w:line="342" w:lineRule="auto"/>
        <w:tabs>
          <w:tab w:leader="none" w:pos="173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existence of any claim, set-off, defense or other right that any Parent or any of their Subsidiaries may have at any time against any beneficiary or transferee beneficiary, any assignee of proceeds, Canadian Issuing Lender, Canadian Underlying Issuer or any other Person;</w:t>
      </w:r>
    </w:p>
    <w:p>
      <w:pPr>
        <w:spacing w:after="0" w:line="15" w:lineRule="exact"/>
        <w:rPr>
          <w:rFonts w:ascii="Arial" w:cs="Arial" w:eastAsia="Arial" w:hAnsi="Arial"/>
          <w:sz w:val="16"/>
          <w:szCs w:val="16"/>
          <w:color w:val="auto"/>
        </w:rPr>
      </w:pPr>
    </w:p>
    <w:p>
      <w:pPr>
        <w:ind w:right="440" w:firstLine="1492"/>
        <w:spacing w:after="0" w:line="312" w:lineRule="auto"/>
        <w:tabs>
          <w:tab w:leader="none" w:pos="178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Canadian Issuing Lender or any correspondent or Canadian Underling Issuer honoring a drawing upon receipt of an electronic presentation under a Canadian Letter of Credit or Canadian Reimbursement Undertaking requiring the same, regardless of whether the original Drawing Documents arrive at Canadian Issuing Lender’s or Canadian Underlying Issuer’s counters or are different from the electronic presentation;</w:t>
      </w:r>
    </w:p>
    <w:p>
      <w:pPr>
        <w:spacing w:after="0" w:line="38" w:lineRule="exact"/>
        <w:rPr>
          <w:rFonts w:ascii="Arial" w:cs="Arial" w:eastAsia="Arial" w:hAnsi="Arial"/>
          <w:sz w:val="16"/>
          <w:szCs w:val="16"/>
          <w:color w:val="auto"/>
        </w:rPr>
      </w:pPr>
    </w:p>
    <w:p>
      <w:pPr>
        <w:ind w:left="1840" w:hanging="348"/>
        <w:spacing w:after="0"/>
        <w:tabs>
          <w:tab w:leader="none" w:pos="18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other event, circumstance or conduct whatsoever, whether or not similar to any of the foregoing that might, but for this</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u w:val="single" w:color="auto"/>
          <w:color w:val="auto"/>
        </w:rPr>
        <w:t>Section 2.11B(i)</w:t>
      </w:r>
      <w:r>
        <w:rPr>
          <w:rFonts w:ascii="Arial" w:cs="Arial" w:eastAsia="Arial" w:hAnsi="Arial"/>
          <w:sz w:val="18"/>
          <w:szCs w:val="18"/>
          <w:color w:val="auto"/>
        </w:rPr>
        <w:t>, constitute a legal or equitable defense to or discharge of, or provide a right of set-off against, Parents’ or any of their Subsidiaries’ reimbursement and other payment obligations and liabilities, arising under, or in connection with, any Canadian Letter of Credit, whether against Canadian Issuing Lender, Canadian Underlying Issuer, the beneficiary or any other Person; or</w:t>
      </w:r>
    </w:p>
    <w:p>
      <w:pPr>
        <w:spacing w:after="0" w:line="8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(viii) the fact that any Default or Event of Default shall have occurred and be continuing;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2.11B(g)</w:t>
      </w:r>
      <w:r>
        <w:rPr>
          <w:rFonts w:ascii="Arial" w:cs="Arial" w:eastAsia="Arial" w:hAnsi="Arial"/>
          <w:sz w:val="18"/>
          <w:szCs w:val="18"/>
          <w:color w:val="auto"/>
        </w:rPr>
        <w:t xml:space="preserve"> above, the foregoing shall not release Canadian Issuing Lender or Canadian Underlying Issuer from such liability to Canadian Borrowers as may be determined in a final, non-appealable judgment of a court of competent jurisdiction against Canadian Issuing Lender or Canadian Underlying Issuer following reimbursement or payment of the obligations and liabilities, including reimbursement and other payment obligations, of Canadian Borrowers to Canadian Issuing Lender arising under, or in connection with,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or any Canadian Letter of Credit or Canadian Reimbursement Undertaking or its correspondent.</w:t>
      </w:r>
    </w:p>
    <w:p>
      <w:pPr>
        <w:spacing w:after="0" w:line="80" w:lineRule="exact"/>
        <w:rPr>
          <w:sz w:val="20"/>
          <w:szCs w:val="20"/>
          <w:color w:val="auto"/>
        </w:rPr>
      </w:pPr>
    </w:p>
    <w:p>
      <w:pPr>
        <w:ind w:right="480" w:firstLine="921"/>
        <w:spacing w:after="0" w:line="259" w:lineRule="auto"/>
        <w:tabs>
          <w:tab w:leader="none" w:pos="112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Canadian Issuing Lender and each other Letter of Credit Related Person (if applicable) shall not be responsible to Canadian Borrowers for, and Canadian Issuing Lender’s rights and remedies against Canadian Borrowers and the obligation of Canadian Borrowers to reimburse Canadian Issuing Lender for each drawing under each Canadian Letter of Credit and each Canadian Reimbursement Undertaking shall not be impaired by:</w:t>
      </w:r>
    </w:p>
    <w:p>
      <w:pPr>
        <w:spacing w:after="0" w:line="78" w:lineRule="exact"/>
        <w:rPr>
          <w:rFonts w:ascii="Arial" w:cs="Arial" w:eastAsia="Arial" w:hAnsi="Arial"/>
          <w:sz w:val="18"/>
          <w:szCs w:val="18"/>
          <w:color w:val="auto"/>
        </w:rPr>
      </w:pPr>
    </w:p>
    <w:p>
      <w:pPr>
        <w:ind w:right="280" w:firstLine="1492"/>
        <w:spacing w:after="0" w:line="277" w:lineRule="auto"/>
        <w:tabs>
          <w:tab w:leader="none" w:pos="169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honor of a presentation under any Canadian Letter of Credit that on its face substantially complies with the terms and conditions of such Canadian Letter of Credit, even if the Canadian Letter of Credit requires strict compliance by the beneficiary;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74" w:right="239" w:bottom="1440" w:gutter="0" w:footer="0" w:header="0"/>
        </w:sectPr>
      </w:pPr>
    </w:p>
    <w:bookmarkStart w:id="140" w:name="page141"/>
    <w:bookmarkEnd w:id="140"/>
    <w:p>
      <w:pPr>
        <w:ind w:firstLine="1492"/>
        <w:spacing w:after="0" w:line="264" w:lineRule="auto"/>
        <w:tabs>
          <w:tab w:leader="none" w:pos="1748"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73" w:lineRule="exact"/>
        <w:rPr>
          <w:rFonts w:ascii="Arial" w:cs="Arial" w:eastAsia="Arial" w:hAnsi="Arial"/>
          <w:sz w:val="18"/>
          <w:szCs w:val="18"/>
          <w:color w:val="auto"/>
        </w:rPr>
      </w:pPr>
    </w:p>
    <w:p>
      <w:pPr>
        <w:ind w:right="560" w:firstLine="1492"/>
        <w:spacing w:after="0" w:line="264" w:lineRule="auto"/>
        <w:tabs>
          <w:tab w:leader="none" w:pos="179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acceptance as a draft of any written or electronic demand or request for payment under a Canadian Letter of Credit, even if nonnegotiable or not in the form of a draft or notwithstanding any requirement that such draft, demand or request bear any or adequate reference to the Canadian Letter of Credit;</w:t>
      </w:r>
    </w:p>
    <w:p>
      <w:pPr>
        <w:spacing w:after="0" w:line="73" w:lineRule="exact"/>
        <w:rPr>
          <w:rFonts w:ascii="Arial" w:cs="Arial" w:eastAsia="Arial" w:hAnsi="Arial"/>
          <w:sz w:val="18"/>
          <w:szCs w:val="18"/>
          <w:color w:val="auto"/>
        </w:rPr>
      </w:pPr>
    </w:p>
    <w:p>
      <w:pPr>
        <w:jc w:val="both"/>
        <w:ind w:right="260" w:firstLine="1492"/>
        <w:spacing w:after="0" w:line="264" w:lineRule="auto"/>
        <w:tabs>
          <w:tab w:leader="none" w:pos="178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identity or authority of any presenter or signer of any Drawing Document or the form, accuracy, genuineness or legal effect of any Drawing Document (other than Canadian Issuing Lender’s or Canadian Underlying Issuer’s determination that such Drawing Document appears on its face substantially to comply with the terms and conditions of the Canadian Letter of Credit);</w:t>
      </w:r>
    </w:p>
    <w:p>
      <w:pPr>
        <w:spacing w:after="0" w:line="73" w:lineRule="exact"/>
        <w:rPr>
          <w:rFonts w:ascii="Arial" w:cs="Arial" w:eastAsia="Arial" w:hAnsi="Arial"/>
          <w:sz w:val="18"/>
          <w:szCs w:val="18"/>
          <w:color w:val="auto"/>
        </w:rPr>
      </w:pPr>
    </w:p>
    <w:p>
      <w:pPr>
        <w:ind w:right="20" w:firstLine="1492"/>
        <w:spacing w:after="0" w:line="342" w:lineRule="auto"/>
        <w:tabs>
          <w:tab w:leader="none" w:pos="173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acting upon any instruction or request relative to a Canadian Letter of Credit or requested Canadian Letter of Credit that each of Canadian Issuing Lender and Canadian Underlying Issuer in good faith believes to have been given by a Person authorized to give such instruction or request;</w:t>
      </w:r>
    </w:p>
    <w:p>
      <w:pPr>
        <w:spacing w:after="0" w:line="15" w:lineRule="exact"/>
        <w:rPr>
          <w:rFonts w:ascii="Arial" w:cs="Arial" w:eastAsia="Arial" w:hAnsi="Arial"/>
          <w:sz w:val="16"/>
          <w:szCs w:val="16"/>
          <w:color w:val="auto"/>
        </w:rPr>
      </w:pPr>
    </w:p>
    <w:p>
      <w:pPr>
        <w:ind w:right="20" w:firstLine="1492"/>
        <w:spacing w:after="0" w:line="342" w:lineRule="auto"/>
        <w:tabs>
          <w:tab w:leader="none" w:pos="178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Canadian Borrower;</w:t>
      </w:r>
    </w:p>
    <w:p>
      <w:pPr>
        <w:spacing w:after="0" w:line="15" w:lineRule="exact"/>
        <w:rPr>
          <w:rFonts w:ascii="Arial" w:cs="Arial" w:eastAsia="Arial" w:hAnsi="Arial"/>
          <w:sz w:val="16"/>
          <w:szCs w:val="16"/>
          <w:color w:val="auto"/>
        </w:rPr>
      </w:pPr>
    </w:p>
    <w:p>
      <w:pPr>
        <w:ind w:right="340" w:firstLine="1492"/>
        <w:spacing w:after="0" w:line="264" w:lineRule="auto"/>
        <w:tabs>
          <w:tab w:leader="none" w:pos="18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acts, omissions or fraud by, or the insolvency of, any beneficiary, any nominated person or entity or any other Person or any breach of contract between any beneficiary and any Borrower or any of the parties to the underlying transaction to which the Canadian Letter of Credit relates;</w:t>
      </w:r>
    </w:p>
    <w:p>
      <w:pPr>
        <w:spacing w:after="0" w:line="73" w:lineRule="exact"/>
        <w:rPr>
          <w:rFonts w:ascii="Arial" w:cs="Arial" w:eastAsia="Arial" w:hAnsi="Arial"/>
          <w:sz w:val="18"/>
          <w:szCs w:val="18"/>
          <w:color w:val="auto"/>
        </w:rPr>
      </w:pPr>
    </w:p>
    <w:p>
      <w:pPr>
        <w:ind w:right="800" w:firstLine="1492"/>
        <w:spacing w:after="0" w:line="277" w:lineRule="auto"/>
        <w:tabs>
          <w:tab w:leader="none" w:pos="188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assertion or waiver of any provision of the ISP or UCP that primarily benefits an issuer of a letter of credit, including any requirement that any Drawing Document be presented to it at a particular hour or place;</w:t>
      </w:r>
    </w:p>
    <w:p>
      <w:pPr>
        <w:spacing w:after="0" w:line="62" w:lineRule="exact"/>
        <w:rPr>
          <w:rFonts w:ascii="Arial" w:cs="Arial" w:eastAsia="Arial" w:hAnsi="Arial"/>
          <w:sz w:val="18"/>
          <w:szCs w:val="18"/>
          <w:color w:val="auto"/>
        </w:rPr>
      </w:pPr>
    </w:p>
    <w:p>
      <w:pPr>
        <w:ind w:right="260" w:firstLine="1492"/>
        <w:spacing w:after="0" w:line="277" w:lineRule="auto"/>
        <w:tabs>
          <w:tab w:leader="none" w:pos="178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payment to any presenting bank (designated or permitted by the terms of the applicable Canadian Letter of Credit) claiming that it rightfully honored or is entitled to reimbursement or indemnity under Standard Letter of Credit Practice applicable to it;</w:t>
      </w:r>
    </w:p>
    <w:p>
      <w:pPr>
        <w:spacing w:after="0" w:line="62" w:lineRule="exact"/>
        <w:rPr>
          <w:rFonts w:ascii="Arial" w:cs="Arial" w:eastAsia="Arial" w:hAnsi="Arial"/>
          <w:sz w:val="18"/>
          <w:szCs w:val="18"/>
          <w:color w:val="auto"/>
        </w:rPr>
      </w:pPr>
    </w:p>
    <w:p>
      <w:pPr>
        <w:ind w:right="80" w:firstLine="1492"/>
        <w:spacing w:after="0" w:line="308" w:lineRule="auto"/>
        <w:tabs>
          <w:tab w:leader="none" w:pos="173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acting or failing to act as required or permitted under Standard Letter of Credit Practice applicable to where Canadian Issuing Lender or Canadian Underlying Issuer has issued, confirmed, advised or negotiated such Canadian Letter of Credit, as the case may be;</w:t>
      </w:r>
    </w:p>
    <w:p>
      <w:pPr>
        <w:spacing w:after="0" w:line="38" w:lineRule="exact"/>
        <w:rPr>
          <w:rFonts w:ascii="Arial" w:cs="Arial" w:eastAsia="Arial" w:hAnsi="Arial"/>
          <w:sz w:val="17"/>
          <w:szCs w:val="17"/>
          <w:color w:val="auto"/>
        </w:rPr>
      </w:pPr>
    </w:p>
    <w:p>
      <w:pPr>
        <w:jc w:val="both"/>
        <w:ind w:right="60" w:firstLine="1492"/>
        <w:spacing w:after="0" w:line="312" w:lineRule="auto"/>
        <w:tabs>
          <w:tab w:leader="none" w:pos="178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honor of a presentation after the expiration date of any Canadian Letter of Credit notwithstanding that a presentation was made prior to such expiration date and dishonored by Canadian Issuing Lender or Canadian Underlying Issuer, as applicable, if subsequently Canadian Issuing Lender or Canadian Underlying Issuer, as applicable, or any court or other finder of fact determines such presentation should have been honored;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74" w:right="239" w:bottom="1440" w:gutter="0" w:footer="0" w:header="0"/>
        </w:sectPr>
      </w:pPr>
    </w:p>
    <w:bookmarkStart w:id="141" w:name="page142"/>
    <w:bookmarkEnd w:id="141"/>
    <w:p>
      <w:pPr>
        <w:ind w:left="1800" w:hanging="348"/>
        <w:spacing w:after="0"/>
        <w:tabs>
          <w:tab w:leader="none" w:pos="18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dishonor of any presentation that does not strictly comply or that is fraudulent, forged or otherwise not entitled to honor; or</w:t>
      </w:r>
    </w:p>
    <w:p>
      <w:pPr>
        <w:spacing w:after="0" w:line="128" w:lineRule="exact"/>
        <w:rPr>
          <w:rFonts w:ascii="Arial" w:cs="Arial" w:eastAsia="Arial" w:hAnsi="Arial"/>
          <w:sz w:val="17"/>
          <w:szCs w:val="17"/>
          <w:color w:val="auto"/>
        </w:rPr>
      </w:pPr>
    </w:p>
    <w:p>
      <w:pPr>
        <w:ind w:left="-40" w:right="120" w:firstLine="1492"/>
        <w:spacing w:after="0" w:line="342" w:lineRule="auto"/>
        <w:tabs>
          <w:tab w:leader="none" w:pos="1848" w:val="left"/>
        </w:tabs>
        <w:numPr>
          <w:ilvl w:val="1"/>
          <w:numId w:val="145"/>
        </w:numPr>
        <w:rPr>
          <w:rFonts w:ascii="Arial" w:cs="Arial" w:eastAsia="Arial" w:hAnsi="Arial"/>
          <w:sz w:val="16"/>
          <w:szCs w:val="16"/>
          <w:color w:val="auto"/>
        </w:rPr>
      </w:pPr>
      <w:r>
        <w:rPr>
          <w:rFonts w:ascii="Arial" w:cs="Arial" w:eastAsia="Arial" w:hAnsi="Arial"/>
          <w:sz w:val="16"/>
          <w:szCs w:val="16"/>
          <w:color w:val="auto"/>
        </w:rPr>
        <w:t>honor of a presentation that is subsequently determined by Canadian Issuing Lender or Canadian Underlying Issuer, as applicable, to have been made in violation of international, federal, state or local restrictions on the transaction of business with certain prohibited Persons.</w:t>
      </w:r>
    </w:p>
    <w:p>
      <w:pPr>
        <w:spacing w:after="0" w:line="15" w:lineRule="exact"/>
        <w:rPr>
          <w:rFonts w:ascii="Arial" w:cs="Arial" w:eastAsia="Arial" w:hAnsi="Arial"/>
          <w:sz w:val="16"/>
          <w:szCs w:val="16"/>
          <w:color w:val="auto"/>
        </w:rPr>
      </w:pPr>
    </w:p>
    <w:p>
      <w:pPr>
        <w:ind w:left="-40" w:right="20" w:firstLine="921"/>
        <w:spacing w:after="0" w:line="287" w:lineRule="auto"/>
        <w:tabs>
          <w:tab w:leader="none" w:pos="112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Canadian Borrowers shall pay promptly upon demand to Agent for the account of Canadian Issuing Lender as non-refundable fees, commissions, and charges (it being acknowledged and agreed that any charging of such fees, commissions, and charges to the Canadian Loan Account pursuant to the provisions of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shall be deemed to constitute a demand for payment thereof for the purposes of this </w:t>
      </w:r>
      <w:r>
        <w:rPr>
          <w:rFonts w:ascii="Arial" w:cs="Arial" w:eastAsia="Arial" w:hAnsi="Arial"/>
          <w:sz w:val="16"/>
          <w:szCs w:val="16"/>
          <w:u w:val="single" w:color="auto"/>
          <w:color w:val="auto"/>
        </w:rPr>
        <w:t>Section 2.11B(k)</w:t>
      </w:r>
      <w:r>
        <w:rPr>
          <w:rFonts w:ascii="Arial" w:cs="Arial" w:eastAsia="Arial" w:hAnsi="Arial"/>
          <w:sz w:val="16"/>
          <w:szCs w:val="16"/>
          <w:color w:val="auto"/>
        </w:rPr>
        <w:t xml:space="preserve">): (i) a fronting fee which shall be imposed by Canadian Issuing Lender of 0.125% per annum times the average amount of the Canadian Letter of Credit Usage during the immediately preceding quarter (or if an Event of Default has occurred, month) (or portion thereof),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 any and all other customary commissions, fees and charges then in effect imposed by, and any and all expenses incurred by, Canadian Issuing Lender or Canadian Underlying Issuer, or by any adviser, confirming institution or entity or other nominated person, relating to Canadian Letters of Credit, at the time of issuance of any Canadian Letter of Credit and upon the occurrence of any other activity with respect to any Canadian Letter of Credit (including transfers, assignments of proceeds, amendments, drawings, renewals or cancellations). Notwithstanding the foregoing, if Canadian Issuing Lender is a Person other than WF Canada, all fronting fees payable in respect of Canadian Letters of Credit issued by such Canadian Issuing Lender shall be paid by Canadian Borrowers promptly upon written demand directly to such Canadian Issuing Lender for its own account. Canadian Borrowers shall also pay directly to Canadian Underlying Issuer all of its fees, commissions and charges in respect of Canadian Letters of Credit issued by such Canadian Underlying Issuer upon written demand.</w:t>
      </w:r>
    </w:p>
    <w:p>
      <w:pPr>
        <w:spacing w:after="0" w:line="60" w:lineRule="exact"/>
        <w:rPr>
          <w:rFonts w:ascii="Arial" w:cs="Arial" w:eastAsia="Arial" w:hAnsi="Arial"/>
          <w:sz w:val="16"/>
          <w:szCs w:val="16"/>
          <w:color w:val="auto"/>
        </w:rPr>
      </w:pPr>
    </w:p>
    <w:p>
      <w:pPr>
        <w:jc w:val="both"/>
        <w:ind w:left="-40" w:right="220" w:firstLine="921"/>
        <w:spacing w:after="0" w:line="286" w:lineRule="auto"/>
        <w:tabs>
          <w:tab w:leader="none" w:pos="108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by reason of (x) any Change in Law, or (y) compliance by Canadian Issuing Lender, Canadian Underlying Issuer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57" w:lineRule="exact"/>
        <w:rPr>
          <w:rFonts w:ascii="Arial" w:cs="Arial" w:eastAsia="Arial" w:hAnsi="Arial"/>
          <w:sz w:val="17"/>
          <w:szCs w:val="17"/>
          <w:color w:val="auto"/>
        </w:rPr>
      </w:pPr>
    </w:p>
    <w:p>
      <w:pPr>
        <w:ind w:left="-40" w:firstLine="1492"/>
        <w:spacing w:after="0" w:line="264" w:lineRule="auto"/>
        <w:tabs>
          <w:tab w:leader="none" w:pos="165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reserve, deposit, or similar requirement is or shall be imposed or modified in respect of any Canadian Letter of Credit or Canadian Reimbursement Undertaking issued or caused to be issued hereunder or hereby, or any Canadian Loans or obligations to make Canadian Loans hereunder or hereby, or</w:t>
      </w:r>
    </w:p>
    <w:p>
      <w:pPr>
        <w:spacing w:after="0" w:line="73" w:lineRule="exact"/>
        <w:rPr>
          <w:rFonts w:ascii="Arial" w:cs="Arial" w:eastAsia="Arial" w:hAnsi="Arial"/>
          <w:sz w:val="18"/>
          <w:szCs w:val="18"/>
          <w:color w:val="auto"/>
        </w:rPr>
      </w:pPr>
    </w:p>
    <w:p>
      <w:pPr>
        <w:ind w:left="-40" w:right="200" w:firstLine="1492"/>
        <w:spacing w:after="0" w:line="264" w:lineRule="auto"/>
        <w:tabs>
          <w:tab w:leader="none" w:pos="170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there shall be imposed on Canadian Issuing Lender or any other member of the Lender Group or Canadian Underlying Issuer any other condition regarding any Canadian Letter of Credit or Canadian Reimbursement Undertaking, Canadian Loans or obligations to make Canadian Loans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80" w:top="274" w:right="259" w:bottom="1440" w:gutter="0" w:footer="0" w:header="0"/>
        </w:sectPr>
      </w:pPr>
    </w:p>
    <w:bookmarkStart w:id="142" w:name="page143"/>
    <w:bookmarkEnd w:id="14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the result of the foregoing is to increase, directly or indirectly, the cost to Canadian Issuing Lender or any other member of the Lender Group or Canadian Underlying Issuer of issuing, making, participating in, or maintaining any Canadian Letter of Credit or to reduce the amount receivable in respect thereof, then, and in any such case, Agent may, at any time within a reasonable period after the additional cost is incurred or the amount received is reduced, notify Canadian Borrowers in writing, and Canadian Borrowers shall pay within 30 days after demand therefor, such amounts as Agent may specify to be necessary to compensate Canadian Issuing Lender or any other member of the Lender Group or Canadian Underlying Issuer for such additional cost or reduced receipt, together with interest on such amount from the date of such demand until payment in full thereof at the rate then applicable to Canadian Revolving Loans that are Base Rate Loans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Canadian Borrowers shall not be required to provide any compensation pursuant to this </w:t>
      </w:r>
      <w:r>
        <w:rPr>
          <w:rFonts w:ascii="Arial" w:cs="Arial" w:eastAsia="Arial" w:hAnsi="Arial"/>
          <w:sz w:val="17"/>
          <w:szCs w:val="17"/>
          <w:u w:val="single" w:color="auto"/>
          <w:color w:val="auto"/>
        </w:rPr>
        <w:t>Section 2.11B(l)</w:t>
      </w:r>
      <w:r>
        <w:rPr>
          <w:rFonts w:ascii="Arial" w:cs="Arial" w:eastAsia="Arial" w:hAnsi="Arial"/>
          <w:sz w:val="17"/>
          <w:szCs w:val="17"/>
          <w:color w:val="auto"/>
        </w:rPr>
        <w:t xml:space="preserve"> for any such amounts incurred more than 180 days prior to the date on which the demand for payment of such amounts is first made to Canadian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17"/>
          <w:szCs w:val="17"/>
          <w:u w:val="single" w:color="auto"/>
          <w:color w:val="auto"/>
        </w:rPr>
        <w:t>Section 2.11B(l)</w:t>
      </w:r>
      <w:r>
        <w:rPr>
          <w:rFonts w:ascii="Arial" w:cs="Arial" w:eastAsia="Arial" w:hAnsi="Arial"/>
          <w:sz w:val="17"/>
          <w:szCs w:val="17"/>
          <w:color w:val="auto"/>
        </w:rPr>
        <w:t>, as set forth in a certificate setting forth the calculation thereof in reasonable detail, shall, in the absence of manifest or demonstrable error, be final and conclusive and binding on all of the parties hereto.</w:t>
      </w:r>
    </w:p>
    <w:p>
      <w:pPr>
        <w:spacing w:after="0" w:line="72" w:lineRule="exact"/>
        <w:rPr>
          <w:sz w:val="20"/>
          <w:szCs w:val="20"/>
          <w:color w:val="auto"/>
        </w:rPr>
      </w:pPr>
    </w:p>
    <w:p>
      <w:pPr>
        <w:ind w:right="160" w:firstLine="921"/>
        <w:spacing w:after="0" w:line="255" w:lineRule="auto"/>
        <w:tabs>
          <w:tab w:leader="none" w:pos="12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Each standby Canadian Letter of Credit shall expire not later than the date that is 12 months after the date of the issuance of such Canadian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standby Canadian Letter of Credit may provide for the automatic extension thereof for any number of additional periods each of up to one year in duration;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with respect to any Canadian Letter of Credit which extends beyond the Maturity Date, Letter of Credit Collateralization shall be provided therefor on or before the date that is five Business Days prior to the Maturity Date. Each commercial Canadian Letter of Credit shall expire on the earlier of (i) 120 days after the date of the issuance of such commercial Canadian Letter of Credit and (ii) five Business Days prior to the Maturity Date.</w:t>
      </w:r>
    </w:p>
    <w:p>
      <w:pPr>
        <w:spacing w:after="0" w:line="85" w:lineRule="exact"/>
        <w:rPr>
          <w:rFonts w:ascii="Arial" w:cs="Arial" w:eastAsia="Arial" w:hAnsi="Arial"/>
          <w:sz w:val="18"/>
          <w:szCs w:val="18"/>
          <w:color w:val="auto"/>
        </w:rPr>
      </w:pPr>
    </w:p>
    <w:p>
      <w:pPr>
        <w:ind w:firstLine="921"/>
        <w:spacing w:after="0" w:line="270" w:lineRule="auto"/>
        <w:tabs>
          <w:tab w:leader="none" w:pos="116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If (i) any Event of Default shall occur and be continuing, or (ii) Canadian Availability shall at any time be less than zero, then on the Business Day following the date when the Administrative Borrower receives notice from Agent or the Required Lenders (or, if the maturity of the Obligations has been accelerated, Revolving Lenders with Canadian Letter of Credit Exposure representing greater than 50% of the total Canadian Letter Credit Exposure) demanding Letter of Credit Collateralization pursuant to this </w:t>
      </w:r>
      <w:r>
        <w:rPr>
          <w:rFonts w:ascii="Arial" w:cs="Arial" w:eastAsia="Arial" w:hAnsi="Arial"/>
          <w:sz w:val="17"/>
          <w:szCs w:val="17"/>
          <w:u w:val="single" w:color="auto"/>
          <w:color w:val="auto"/>
        </w:rPr>
        <w:t>Section 2.11B(n)</w:t>
      </w:r>
      <w:r>
        <w:rPr>
          <w:rFonts w:ascii="Arial" w:cs="Arial" w:eastAsia="Arial" w:hAnsi="Arial"/>
          <w:sz w:val="17"/>
          <w:szCs w:val="17"/>
          <w:color w:val="auto"/>
        </w:rPr>
        <w:t xml:space="preserve"> upon such demand, Canadian Borrowers shall provide Letter of Credit Collateralization with respect to the then existing Canadian Letter of Credit Usage. If Canadian Borrowers fail to provide Letter of Credit Collateralization as required by this </w:t>
      </w:r>
      <w:r>
        <w:rPr>
          <w:rFonts w:ascii="Arial" w:cs="Arial" w:eastAsia="Arial" w:hAnsi="Arial"/>
          <w:sz w:val="17"/>
          <w:szCs w:val="17"/>
          <w:u w:val="single" w:color="auto"/>
          <w:color w:val="auto"/>
        </w:rPr>
        <w:t>Section 2.11B(n)</w:t>
      </w:r>
      <w:r>
        <w:rPr>
          <w:rFonts w:ascii="Arial" w:cs="Arial" w:eastAsia="Arial" w:hAnsi="Arial"/>
          <w:sz w:val="17"/>
          <w:szCs w:val="17"/>
          <w:color w:val="auto"/>
        </w:rPr>
        <w:t xml:space="preserve">, the Revolving Lenders may (and, upon direction of Agent, shall) advance, as Canadian Revolving Loans the amount of the cash collateral required pursuant to the Letter of Credit Collateralization provision so that the then existing Canadian Letter of Credit Usage is cash collateralized in accordance with the Letter of Credit Collateralization provision (whether or not the Revolver Commitments have terminated, an Overadvance exists or the conditions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are satisfied).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274" w:right="259" w:bottom="1440" w:gutter="0" w:footer="0" w:header="0"/>
        </w:sectPr>
      </w:pPr>
    </w:p>
    <w:bookmarkStart w:id="143" w:name="page144"/>
    <w:bookmarkEnd w:id="143"/>
    <w:p>
      <w:pPr>
        <w:ind w:left="-40" w:right="20" w:firstLine="921"/>
        <w:spacing w:after="0" w:line="342" w:lineRule="auto"/>
        <w:tabs>
          <w:tab w:leader="none" w:pos="1128"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expressly agreed by Canadian Issuing Lender and Canadian Borrowers when a Canadian Letter of Credit is issued, (i) the rules of the ISP shall apply to each standby Canadian Letter of Credit, and (ii) the rules of the UCP shall apply to each commercial Canadian Letter of Credit.</w:t>
      </w:r>
    </w:p>
    <w:p>
      <w:pPr>
        <w:spacing w:after="0" w:line="15" w:lineRule="exact"/>
        <w:rPr>
          <w:rFonts w:ascii="Arial" w:cs="Arial" w:eastAsia="Arial" w:hAnsi="Arial"/>
          <w:sz w:val="16"/>
          <w:szCs w:val="16"/>
          <w:color w:val="auto"/>
        </w:rPr>
      </w:pPr>
    </w:p>
    <w:p>
      <w:pPr>
        <w:ind w:left="-40" w:right="460" w:firstLine="921"/>
        <w:spacing w:after="0" w:line="277" w:lineRule="auto"/>
        <w:tabs>
          <w:tab w:leader="none" w:pos="11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Canadian Issuing Lender and Canadian Underlying Issuer shall be deemed to have acted with due diligence and reasonable care if such Person’s conduct is in accordance with Standard Letter of Credit Practice or in accordance with this Agreement.</w:t>
      </w:r>
    </w:p>
    <w:p>
      <w:pPr>
        <w:spacing w:after="0" w:line="62" w:lineRule="exact"/>
        <w:rPr>
          <w:rFonts w:ascii="Arial" w:cs="Arial" w:eastAsia="Arial" w:hAnsi="Arial"/>
          <w:sz w:val="18"/>
          <w:szCs w:val="18"/>
          <w:color w:val="auto"/>
        </w:rPr>
      </w:pPr>
    </w:p>
    <w:p>
      <w:pPr>
        <w:ind w:left="-40" w:right="120" w:firstLine="921"/>
        <w:spacing w:after="0" w:line="312" w:lineRule="auto"/>
        <w:tabs>
          <w:tab w:leader="none" w:pos="112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In the event of a direct conflict between the provisions of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shall control and govern.</w:t>
      </w:r>
    </w:p>
    <w:p>
      <w:pPr>
        <w:spacing w:after="0" w:line="38" w:lineRule="exact"/>
        <w:rPr>
          <w:rFonts w:ascii="Arial" w:cs="Arial" w:eastAsia="Arial" w:hAnsi="Arial"/>
          <w:sz w:val="16"/>
          <w:szCs w:val="16"/>
          <w:color w:val="auto"/>
        </w:rPr>
      </w:pPr>
    </w:p>
    <w:p>
      <w:pPr>
        <w:ind w:left="-40" w:right="40" w:firstLine="921"/>
        <w:spacing w:after="0" w:line="277" w:lineRule="auto"/>
        <w:tabs>
          <w:tab w:leader="none" w:pos="109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shall survive the termination of this Agreement and the repayment in full of the Obligations with respect to any Canadian Letters of Credit or Canadian Reimbursement Undertakings that remain outstanding.</w:t>
      </w:r>
    </w:p>
    <w:p>
      <w:pPr>
        <w:spacing w:after="0" w:line="62" w:lineRule="exact"/>
        <w:rPr>
          <w:rFonts w:ascii="Arial" w:cs="Arial" w:eastAsia="Arial" w:hAnsi="Arial"/>
          <w:sz w:val="18"/>
          <w:szCs w:val="18"/>
          <w:color w:val="auto"/>
        </w:rPr>
      </w:pPr>
    </w:p>
    <w:p>
      <w:pPr>
        <w:ind w:left="-40" w:right="60" w:firstLine="921"/>
        <w:spacing w:after="0" w:line="269" w:lineRule="auto"/>
        <w:tabs>
          <w:tab w:leader="none" w:pos="110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At Canadian Borrowers’ costs and expense, Canadian Borrowers shall execute and deliver to Canadian Issuing Lender or Canadian Underlying Issuer such additional certificates, instruments and/or documents and take such additional action as may be reasonably requested by Canadian Issuing Lender or Canadian Underlying Issuer to enable Canadian Issuing Lender or Canadian Underlying Issuer to issue any Canadian Letter of Credit or Canadian Reimbursement Undertaking pursuant to this Agreement and related Issuer Document, to protect, exercise and/or enforce Canadian Issuing Lenders’ and Canadian Underlying Issuers’ rights and interests under this Agreement or to give effect to the terms and provisions of this Agreement or any Issuer Document. Each Canadian Borrower irrevocably appoints Canadian Issuing Lender and Canadian Underlying Issuer as its attorney-in-fact and authorizes Canadian Issuing Lender and Canadian Underlying Issuer, without notice to Canadian Borrowers, to execute and deliver ancillary documents and letters customary in the letter of credit business that may include but are not limited to advisements, indemnities, checks, bills of exchange and issuance documents. The power of attorney granted by the Canadian Borrowers is limited solely to such actions related to the issuance, confirmation or amendment of any Canadian Letter of Credit and Canadian Reimbursement Undertakings and to ancillary documents or letters customary in the letter of credit business. This appointment is coupled with an interest.</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2.11C </w:t>
      </w:r>
      <w:r>
        <w:rPr>
          <w:rFonts w:ascii="Arial" w:cs="Arial" w:eastAsia="Arial" w:hAnsi="Arial"/>
          <w:sz w:val="18"/>
          <w:szCs w:val="18"/>
          <w:b w:val="1"/>
          <w:bCs w:val="1"/>
          <w:u w:val="single" w:color="auto"/>
          <w:color w:val="auto"/>
        </w:rPr>
        <w:t>UK Letters of Credit</w:t>
      </w:r>
      <w:r>
        <w:rPr>
          <w:rFonts w:ascii="Arial" w:cs="Arial" w:eastAsia="Arial" w:hAnsi="Arial"/>
          <w:sz w:val="18"/>
          <w:szCs w:val="18"/>
          <w:color w:val="auto"/>
        </w:rPr>
        <w:t>.</w:t>
      </w:r>
    </w:p>
    <w:p>
      <w:pPr>
        <w:spacing w:after="0" w:line="121" w:lineRule="exact"/>
        <w:rPr>
          <w:sz w:val="20"/>
          <w:szCs w:val="20"/>
          <w:color w:val="auto"/>
        </w:rPr>
      </w:pPr>
    </w:p>
    <w:p>
      <w:pPr>
        <w:ind w:left="-40" w:firstLine="921"/>
        <w:spacing w:after="0" w:line="255" w:lineRule="auto"/>
        <w:tabs>
          <w:tab w:leader="none" w:pos="11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upon the request of UK Borrowers made in accordance herewith, and prior to the Maturity Date, UK Issuing Lender agrees to issue a requested standby UK Letter of Credit or a sight commercial UK Letter of Credit for the account of UK Borrowers or, for UK Letters of Credit in an amount not to exceed the Dollar Equivalent of $15,000,000 in the aggregate for all Letters of Credit issued for the account of a Subsidiary that is not a Loan Party, on the account of a Subsidiary of the Parent. By submitting a request to UK Issuing Lender for the issuance of a UK Letter of Credit, UK Borrowers shall be deemed to have requested that a UK Issuing Lender issue the requested UK Letter of Credit. Each request for the issuance of a UK Letter of Credit, or the amendment, renewal, or extension of any outstanding UK Letter of Credit, shall be (i) irrevocable and made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80" w:top="274" w:right="279" w:bottom="1440" w:gutter="0" w:footer="0" w:header="0"/>
        </w:sectPr>
      </w:pPr>
    </w:p>
    <w:bookmarkStart w:id="144" w:name="page145"/>
    <w:bookmarkEnd w:id="14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writing by an Authorized Person, (ii) delivered to Agent and UK Issuing Lender via telefacsimile or other electronic method of transmission reasonably acceptable to Agent and UK Issuing Lender and reasonably in advance of the requested date of issuance, amendment, renewal, or extension, and (iii) subject to UK Issuing Lender’s authentication procedures with results satisfactory to UK Issuing Lender. Each such request shall be in form and substance reasonably satisfactory to Agent and UK Issuing Lender and (i) shall specify (A) the amount of such UK Letter of Credit and whether to be issued in Dollars or Sterling,</w:t>
      </w:r>
    </w:p>
    <w:p>
      <w:pPr>
        <w:spacing w:after="0" w:line="2" w:lineRule="exact"/>
        <w:rPr>
          <w:sz w:val="20"/>
          <w:szCs w:val="20"/>
          <w:color w:val="auto"/>
        </w:rPr>
      </w:pPr>
    </w:p>
    <w:p>
      <w:pPr>
        <w:ind w:firstLine="8"/>
        <w:spacing w:after="0" w:line="268" w:lineRule="auto"/>
        <w:tabs>
          <w:tab w:leader="none" w:pos="2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date of issuance, amendment, renewal, or extension of such UK Letter of Credit, (C) the proposed expiration date of such UK Letter of Credit, (D) the name and address of the beneficiary of the UK Letter of Credit, and (E) such other information (including, the conditions to drawing, and, in the case of an amendment, renewal, or extension, identification of the UK Letter of Credit to be so amended, renewed, or extended) as shall be necessary to prepare, amend, renew, or extend such UK Letter of Credit, and (ii) shall be accompanied by such Issuer Documents as Agent or UK Issuing Lender may request or require, to the extent that such requests or requirements are consistent with the Issuer Documents that UK Issuing Lender generally requests for UK Letters of Credit in similar circumstances. UK Issuing Lender’s records of the content of any such request will be conclusive. Anything contained herein to the contrary notwithstanding, UK Issuing Lender may, but shall not be obligated to, issue a UK Letter of Credit that supports the obligations of a UK Loan Party or one of its Subsidiaries in respect of (x) a lease of real property to the extent that the face amount of such UK Letter of Credit exceeds the highest rent (including all rent-like charges) payable under such lease for a period of one year, or (y) an employment contract to the extent that the face amount of such UK Letter of Credit exceeds the highest compensation payable under such contract for a period of one year.</w:t>
      </w:r>
    </w:p>
    <w:p>
      <w:pPr>
        <w:spacing w:after="0" w:line="71" w:lineRule="exact"/>
        <w:rPr>
          <w:rFonts w:ascii="Arial" w:cs="Arial" w:eastAsia="Arial" w:hAnsi="Arial"/>
          <w:sz w:val="17"/>
          <w:szCs w:val="17"/>
          <w:color w:val="auto"/>
        </w:rPr>
      </w:pPr>
    </w:p>
    <w:p>
      <w:pPr>
        <w:ind w:right="500" w:firstLine="921"/>
        <w:spacing w:after="0" w:line="277" w:lineRule="auto"/>
        <w:tabs>
          <w:tab w:leader="none" w:pos="116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UK Issuing Lender shall have no obligation to issue a UK Letter of Credit if any of the following would result after giving effect to the requested issuance:</w:t>
      </w:r>
    </w:p>
    <w:p>
      <w:pPr>
        <w:spacing w:after="0" w:line="62" w:lineRule="exact"/>
        <w:rPr>
          <w:rFonts w:ascii="Arial" w:cs="Arial" w:eastAsia="Arial" w:hAnsi="Arial"/>
          <w:sz w:val="18"/>
          <w:szCs w:val="18"/>
          <w:color w:val="auto"/>
        </w:rPr>
      </w:pPr>
    </w:p>
    <w:p>
      <w:pPr>
        <w:ind w:right="400" w:firstLine="1492"/>
        <w:spacing w:after="0" w:line="277" w:lineRule="auto"/>
        <w:tabs>
          <w:tab w:leader="none" w:pos="1698"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Dollar Equivalent of the UK Letter of Credit Usage would exceed the Letter of Credit Sublimit minus the US Letter of Credit Usage minus the Canadian Letter of Credit Usage, or</w:t>
      </w:r>
    </w:p>
    <w:p>
      <w:pPr>
        <w:spacing w:after="0" w:line="62" w:lineRule="exact"/>
        <w:rPr>
          <w:rFonts w:ascii="Arial" w:cs="Arial" w:eastAsia="Arial" w:hAnsi="Arial"/>
          <w:sz w:val="18"/>
          <w:szCs w:val="18"/>
          <w:color w:val="auto"/>
        </w:rPr>
      </w:pPr>
    </w:p>
    <w:p>
      <w:pPr>
        <w:ind w:right="20" w:firstLine="1492"/>
        <w:spacing w:after="0" w:line="277" w:lineRule="auto"/>
        <w:tabs>
          <w:tab w:leader="none" w:pos="1748"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Dollar Equivalent of the UK Letter of Credit Usage would exceed the UK Maximum Revolver Amount less the Dollar Equivalent of the outstanding UK Revolving Loans (including UK Swing Loans) at such time, or</w:t>
      </w:r>
    </w:p>
    <w:p>
      <w:pPr>
        <w:spacing w:after="0" w:line="62" w:lineRule="exact"/>
        <w:rPr>
          <w:rFonts w:ascii="Arial" w:cs="Arial" w:eastAsia="Arial" w:hAnsi="Arial"/>
          <w:sz w:val="18"/>
          <w:szCs w:val="18"/>
          <w:color w:val="auto"/>
        </w:rPr>
      </w:pPr>
    </w:p>
    <w:p>
      <w:pPr>
        <w:ind w:right="420" w:firstLine="1492"/>
        <w:spacing w:after="0" w:line="277" w:lineRule="auto"/>
        <w:tabs>
          <w:tab w:leader="none" w:pos="1798"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Dollar Equivalent of the UK Letter of Credit Usage would exceed the UK Borrowing Base at such time less the outstanding principal balance of the Dollar Equivalent of the UK Revolving Loans (inclusive of UK Swing Loans) at such time, or</w:t>
      </w:r>
    </w:p>
    <w:p>
      <w:pPr>
        <w:spacing w:after="0" w:line="62" w:lineRule="exact"/>
        <w:rPr>
          <w:rFonts w:ascii="Arial" w:cs="Arial" w:eastAsia="Arial" w:hAnsi="Arial"/>
          <w:sz w:val="18"/>
          <w:szCs w:val="18"/>
          <w:color w:val="auto"/>
        </w:rPr>
      </w:pPr>
    </w:p>
    <w:p>
      <w:pPr>
        <w:ind w:right="300" w:firstLine="1492"/>
        <w:spacing w:after="0" w:line="308" w:lineRule="auto"/>
        <w:tabs>
          <w:tab w:leader="none" w:pos="1788" w:val="left"/>
        </w:tabs>
        <w:numPr>
          <w:ilvl w:val="2"/>
          <w:numId w:val="150"/>
        </w:numPr>
        <w:rPr>
          <w:rFonts w:ascii="Arial" w:cs="Arial" w:eastAsia="Arial" w:hAnsi="Arial"/>
          <w:sz w:val="17"/>
          <w:szCs w:val="17"/>
          <w:color w:val="auto"/>
        </w:rPr>
      </w:pPr>
      <w:r>
        <w:rPr>
          <w:rFonts w:ascii="Arial" w:cs="Arial" w:eastAsia="Arial" w:hAnsi="Arial"/>
          <w:sz w:val="17"/>
          <w:szCs w:val="17"/>
          <w:color w:val="auto"/>
        </w:rPr>
        <w:t>the Dollar Equivalent of the UK Letter of Credit Usage would exceed the Maximum Revolver Amount less the sum of the Dollar Equivalent of the outstanding UK Revolving Loans, the Dollar Equivalent of Canadian Revolver Usage and the US Revolver Usage, or</w:t>
      </w:r>
    </w:p>
    <w:p>
      <w:pPr>
        <w:spacing w:after="0" w:line="38" w:lineRule="exact"/>
        <w:rPr>
          <w:rFonts w:ascii="Arial" w:cs="Arial" w:eastAsia="Arial" w:hAnsi="Arial"/>
          <w:sz w:val="17"/>
          <w:szCs w:val="17"/>
          <w:color w:val="auto"/>
        </w:rPr>
      </w:pPr>
    </w:p>
    <w:p>
      <w:pPr>
        <w:ind w:left="1740" w:hanging="248"/>
        <w:spacing w:after="0"/>
        <w:tabs>
          <w:tab w:leader="none" w:pos="1740" w:val="left"/>
        </w:tabs>
        <w:numPr>
          <w:ilvl w:val="2"/>
          <w:numId w:val="150"/>
        </w:numPr>
        <w:rPr>
          <w:rFonts w:ascii="Arial" w:cs="Arial" w:eastAsia="Arial" w:hAnsi="Arial"/>
          <w:sz w:val="17"/>
          <w:szCs w:val="17"/>
          <w:color w:val="auto"/>
        </w:rPr>
      </w:pPr>
      <w:r>
        <w:rPr>
          <w:rFonts w:ascii="Arial" w:cs="Arial" w:eastAsia="Arial" w:hAnsi="Arial"/>
          <w:sz w:val="17"/>
          <w:szCs w:val="17"/>
          <w:color w:val="auto"/>
        </w:rPr>
        <w:t>the Dollar Equivalent of the UK Letter of Credit Usage plus the Dollar Equivalent of the Canadian Letter of Credit Usage would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exceed $15,000,000.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274" w:right="259" w:bottom="1440" w:gutter="0" w:footer="0" w:header="0"/>
        </w:sectPr>
      </w:pPr>
    </w:p>
    <w:bookmarkStart w:id="145" w:name="page146"/>
    <w:bookmarkEnd w:id="145"/>
    <w:p>
      <w:pPr>
        <w:ind w:left="-8" w:right="60" w:firstLine="921"/>
        <w:spacing w:after="0" w:line="283" w:lineRule="auto"/>
        <w:tabs>
          <w:tab w:leader="none" w:pos="1150" w:val="left"/>
        </w:tabs>
        <w:numPr>
          <w:ilvl w:val="1"/>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there is a Defaulting Lender as of the date of any request for the issuance of a UK Letter of Credit, UK Issuing Lender shall not be required to issue or arrange for such UK Letter of Credit to the extent (i) the Defaulting Lender’s UK Letter of Credit Exposure with respect to such UK Letter of Credit may not be reallocated pursuant to </w:t>
      </w:r>
      <w:r>
        <w:rPr>
          <w:rFonts w:ascii="Arial" w:cs="Arial" w:eastAsia="Arial" w:hAnsi="Arial"/>
          <w:sz w:val="16"/>
          <w:szCs w:val="16"/>
          <w:u w:val="single" w:color="auto"/>
          <w:color w:val="auto"/>
        </w:rPr>
        <w:t>Section 2.3(g)(ii)</w:t>
      </w:r>
      <w:r>
        <w:rPr>
          <w:rFonts w:ascii="Arial" w:cs="Arial" w:eastAsia="Arial" w:hAnsi="Arial"/>
          <w:sz w:val="16"/>
          <w:szCs w:val="16"/>
          <w:color w:val="auto"/>
        </w:rPr>
        <w:t xml:space="preserve">, or (ii) UK Issuing Lender has not otherwise entered into arrangements reasonably satisfactory to it and UK Borrowers to eliminate UK Issuing Lender’s risk with respect to the participation in such UK Letter of Credit of the Defaulting Lender, which arrangements may include UK Borrowers cash collateralizing such Defaulting Lender’s UK Letter of Credit Exposure in accordance with </w:t>
      </w:r>
      <w:r>
        <w:rPr>
          <w:rFonts w:ascii="Arial" w:cs="Arial" w:eastAsia="Arial" w:hAnsi="Arial"/>
          <w:sz w:val="16"/>
          <w:szCs w:val="16"/>
          <w:u w:val="single" w:color="auto"/>
          <w:color w:val="auto"/>
        </w:rPr>
        <w:t>Section 2.3(g)(ii)</w:t>
      </w:r>
      <w:r>
        <w:rPr>
          <w:rFonts w:ascii="Arial" w:cs="Arial" w:eastAsia="Arial" w:hAnsi="Arial"/>
          <w:sz w:val="16"/>
          <w:szCs w:val="16"/>
          <w:color w:val="auto"/>
        </w:rPr>
        <w:t>. Additionally, UK Issuing Lender shall have no obligation to issue or extend a UK Letter of Credit if (A) any order, judgment, or decree of any Governmental Authority or arbitrator shall, by its terms, purport to enjoin or restrain UK Issuing Lender from issuing such UK Letter of Credit, or any law applicable to UK Issuing Lender or any request or directive (whether or not having the force of law) from any Governmental Authority with jurisdiction over UK Issuing Lender shall prohibit or request that UK Issuing Lender refrain from the issuance of letters of credit generally or such UK Letter of Credit in particular, (B) the issuance of such UK Letter of Credit would violate one or more policies of UK Issuing Lender applicable to letters of credit generally, or</w:t>
      </w:r>
    </w:p>
    <w:p>
      <w:pPr>
        <w:spacing w:after="0" w:line="5" w:lineRule="exact"/>
        <w:rPr>
          <w:rFonts w:ascii="Arial" w:cs="Arial" w:eastAsia="Arial" w:hAnsi="Arial"/>
          <w:sz w:val="16"/>
          <w:szCs w:val="16"/>
          <w:color w:val="auto"/>
        </w:rPr>
      </w:pPr>
    </w:p>
    <w:p>
      <w:pPr>
        <w:ind w:left="292" w:hanging="292"/>
        <w:spacing w:after="0"/>
        <w:tabs>
          <w:tab w:leader="none" w:pos="29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amounts demanded to be paid under any UK Letter of Credit will not or may not be in United States Dollars or Sterling.</w:t>
      </w:r>
    </w:p>
    <w:p>
      <w:pPr>
        <w:spacing w:after="0" w:line="102" w:lineRule="exact"/>
        <w:rPr>
          <w:rFonts w:ascii="Arial" w:cs="Arial" w:eastAsia="Arial" w:hAnsi="Arial"/>
          <w:sz w:val="18"/>
          <w:szCs w:val="18"/>
          <w:color w:val="auto"/>
        </w:rPr>
      </w:pPr>
    </w:p>
    <w:p>
      <w:pPr>
        <w:ind w:left="-8" w:firstLine="921"/>
        <w:spacing w:after="0" w:line="286" w:lineRule="auto"/>
        <w:tabs>
          <w:tab w:leader="none" w:pos="11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Any UK Issuing Lender (other than Wells Fargo or any of its Affiliates) shall notify Agent in writing no later than the Business Day prior to the Business Day on which such UK Issuing Lender issues any UK Letter of Credit. In addition, each UK Issuing Lender (other than Wells Fargo or any of its Affiliates) shall, on the first Business Day of each week, submit to Agent a report detailing the daily undrawn amount of each UK Letter of Credit issued by such UK Issuing Lender during the prior calendar week. Each UK Letter of Credit shall be in form and substance reasonably acceptable to UK Issuing Lender, including the requirement that the amounts payable thereunder must be payable in Dollars or Sterling. If UK Issuing Lender makes a payment under a UK Letter of Credit, UK Borrowers shall pay to Agent an amount equal to the applicable UK Letter of Credit Disbursement on the Business Day such UK Letter of Credit Disbursement is made and, in the absence of such payment, the amount of the UK Letter of Credit Disbursement immediately and automatically shall be deemed to be a UK Revolving Loan hereunder (notwithstanding any failure to satisfy any condition precedent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initially, shall bear interest at the rate then applicable to UK Revolving Loans that are Base Rate Loans. If a UK Letter of Credit Disbursement is deemed to be a UK Revolving Loan hereunder, UK Borrowers’ obligation to pay the amount of such UK Letter of Credit Disbursement to UK Issuing Lender shall be automatically converted into an obligation to pay the resulting UK Revolving Loan. Promptly following receipt by Agent of any payment from UK Borrowers pursuant to this paragraph, Agent shall distribute such payment to UK Issuing Lender or, to the extent that any Revolving Lenders have made payments pursuant to </w:t>
      </w:r>
      <w:r>
        <w:rPr>
          <w:rFonts w:ascii="Arial" w:cs="Arial" w:eastAsia="Arial" w:hAnsi="Arial"/>
          <w:sz w:val="16"/>
          <w:szCs w:val="16"/>
          <w:u w:val="single" w:color="auto"/>
          <w:color w:val="auto"/>
        </w:rPr>
        <w:t>Section 2.11C(e)</w:t>
      </w:r>
      <w:r>
        <w:rPr>
          <w:rFonts w:ascii="Arial" w:cs="Arial" w:eastAsia="Arial" w:hAnsi="Arial"/>
          <w:sz w:val="16"/>
          <w:szCs w:val="16"/>
          <w:color w:val="auto"/>
        </w:rPr>
        <w:t xml:space="preserve"> to reimburse UK Issuing Lender, then to such Revolving Lenders and UK Issuing Lender as their interests may appear.</w:t>
      </w:r>
    </w:p>
    <w:p>
      <w:pPr>
        <w:spacing w:after="0" w:line="66" w:lineRule="exact"/>
        <w:rPr>
          <w:rFonts w:ascii="Arial" w:cs="Arial" w:eastAsia="Arial" w:hAnsi="Arial"/>
          <w:sz w:val="16"/>
          <w:szCs w:val="16"/>
          <w:color w:val="auto"/>
        </w:rPr>
      </w:pPr>
    </w:p>
    <w:p>
      <w:pPr>
        <w:ind w:left="-8" w:right="80" w:firstLine="921"/>
        <w:spacing w:after="0" w:line="312" w:lineRule="auto"/>
        <w:tabs>
          <w:tab w:leader="none" w:pos="115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Promptly following receipt of a notice of a UK Letter of Credit Disbursement pursuant to </w:t>
      </w:r>
      <w:r>
        <w:rPr>
          <w:rFonts w:ascii="Arial" w:cs="Arial" w:eastAsia="Arial" w:hAnsi="Arial"/>
          <w:sz w:val="16"/>
          <w:szCs w:val="16"/>
          <w:u w:val="single" w:color="auto"/>
          <w:color w:val="auto"/>
        </w:rPr>
        <w:t>Section 2.11C(d)</w:t>
      </w:r>
      <w:r>
        <w:rPr>
          <w:rFonts w:ascii="Arial" w:cs="Arial" w:eastAsia="Arial" w:hAnsi="Arial"/>
          <w:sz w:val="16"/>
          <w:szCs w:val="16"/>
          <w:color w:val="auto"/>
        </w:rPr>
        <w:t xml:space="preserve">, each Revolving Lender agrees to fund its Pro Rata Share of any UK Revolving Loan deemed made pursuant to </w:t>
      </w:r>
      <w:r>
        <w:rPr>
          <w:rFonts w:ascii="Arial" w:cs="Arial" w:eastAsia="Arial" w:hAnsi="Arial"/>
          <w:sz w:val="16"/>
          <w:szCs w:val="16"/>
          <w:u w:val="single" w:color="auto"/>
          <w:color w:val="auto"/>
        </w:rPr>
        <w:t>Section 2.11C(d)</w:t>
      </w:r>
      <w:r>
        <w:rPr>
          <w:rFonts w:ascii="Arial" w:cs="Arial" w:eastAsia="Arial" w:hAnsi="Arial"/>
          <w:sz w:val="16"/>
          <w:szCs w:val="16"/>
          <w:color w:val="auto"/>
        </w:rPr>
        <w:t xml:space="preserve"> on the same terms and conditions as if UK Borrowers had requested the amount thereof as a UK Revolving Loan and Agent shall promptly pay to UK Issuing Lender the amounts so received by it from the</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12"/>
          </w:cols>
          <w:pgMar w:left="248" w:top="274" w:right="239" w:bottom="1440" w:gutter="0" w:footer="0" w:header="0"/>
        </w:sectPr>
      </w:pPr>
    </w:p>
    <w:bookmarkStart w:id="146" w:name="page147"/>
    <w:bookmarkEnd w:id="14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Revolving Lenders. By the issuance of a UK Letter of Credit (or an amendment, renewal, or extension of a UK Letter of Credit) and without any further action on the part of UK Issuing Lender or the Revolving Lenders, UK Issuing Lender shall be deemed to have granted to each Revolving Lender with a UK Revolver Commitment, and each Revolving Lender with a UK Revolver Commitment shall be deemed to have purchased, a participation in each UK Letter of Credit issued by UK Issuing Lender, in an amount equal to its Pro Rata Share of such UK Letter of Credit, and each such Revolving Lender agrees to pay to Agent, for the account of UK Issuing Lender, such Revolving Lender’s Pro Rata Share of any UK Letter of Credit Disbursement made by UK Issuing Lender under the applicable UK Letter of Credit. In consideration and in furtherance of the foregoing, each Revolving Lender with a UK Revolver Commitment hereby absolutely and unconditionally agrees to pay to Agent, for the account of UK Issuing Lender, such Revolving Lender’s Pro Rata Share of each UK Letter of Credit Disbursement made by UK Issuing Lender and not reimbursed by UK Borrowers on the date due as provided in </w:t>
      </w:r>
      <w:r>
        <w:rPr>
          <w:rFonts w:ascii="Arial" w:cs="Arial" w:eastAsia="Arial" w:hAnsi="Arial"/>
          <w:sz w:val="17"/>
          <w:szCs w:val="17"/>
          <w:u w:val="single" w:color="auto"/>
          <w:color w:val="auto"/>
        </w:rPr>
        <w:t>Section 2.11C(d)</w:t>
      </w:r>
      <w:r>
        <w:rPr>
          <w:rFonts w:ascii="Arial" w:cs="Arial" w:eastAsia="Arial" w:hAnsi="Arial"/>
          <w:sz w:val="17"/>
          <w:szCs w:val="17"/>
          <w:color w:val="auto"/>
        </w:rPr>
        <w:t xml:space="preserve">, or of any reimbursement payment that is required to be refunded (or that Agent or UK Issuing Lender elects, based upon the advice of counsel, to refund) to UK Borrowers for any reason. Each Revolving Lender with a UK Revolver Commitment acknowledges and agrees that its obligation to deliver to Agent, for the account of UK Issuing Lender, an amount equal to its respective Pro Rata Share of each UK Letter of Credit Disbursement pursuant to this </w:t>
      </w:r>
      <w:r>
        <w:rPr>
          <w:rFonts w:ascii="Arial" w:cs="Arial" w:eastAsia="Arial" w:hAnsi="Arial"/>
          <w:sz w:val="17"/>
          <w:szCs w:val="17"/>
          <w:u w:val="single" w:color="auto"/>
          <w:color w:val="auto"/>
        </w:rPr>
        <w:t>Section 2.11C(e)</w:t>
      </w:r>
      <w:r>
        <w:rPr>
          <w:rFonts w:ascii="Arial" w:cs="Arial" w:eastAsia="Arial" w:hAnsi="Arial"/>
          <w:sz w:val="17"/>
          <w:szCs w:val="17"/>
          <w:color w:val="auto"/>
        </w:rPr>
        <w:t xml:space="preserve"> shall be absolute and unconditional and such remittance shall be made notwithstanding the occurrence or continuation of an Event of Default or Default or the failure to satisfy any condition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If any such Revolving Lender fails to make available to Agent the amount of such Revolving Lender’s Pro Rata Share of a UK Letter of Credit Disbursement as provided in this Section, such Revolving Lender shall be deemed to be a Defaulting Lender and Agent (for the account of UK Issuing Lender) shall be entitled to recover such amount on demand from such Revolving Lender together with interest thereon at the Defaulting Lender Rate until paid in full.</w:t>
      </w:r>
    </w:p>
    <w:p>
      <w:pPr>
        <w:spacing w:after="0" w:line="73" w:lineRule="exact"/>
        <w:rPr>
          <w:sz w:val="20"/>
          <w:szCs w:val="20"/>
          <w:color w:val="auto"/>
        </w:rPr>
      </w:pPr>
    </w:p>
    <w:p>
      <w:pPr>
        <w:ind w:firstLine="921"/>
        <w:spacing w:after="0" w:line="277" w:lineRule="auto"/>
        <w:tabs>
          <w:tab w:leader="none" w:pos="113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UK Borrowers agree to indemnify, defend and hold harmless each Letter of Credit Related Person (to the fullest extent permitted by law) from and against any Letter of Credit Indemnified Costs, and which arise out of or in connection with, or as a result of:</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UK Letter of Credit or any pre-advice of its issuance;</w:t>
      </w:r>
    </w:p>
    <w:p>
      <w:pPr>
        <w:spacing w:after="0" w:line="117" w:lineRule="exact"/>
        <w:rPr>
          <w:rFonts w:ascii="Arial" w:cs="Arial" w:eastAsia="Arial" w:hAnsi="Arial"/>
          <w:sz w:val="18"/>
          <w:szCs w:val="18"/>
          <w:color w:val="auto"/>
        </w:rPr>
      </w:pPr>
    </w:p>
    <w:p>
      <w:pPr>
        <w:ind w:right="380" w:firstLine="1492"/>
        <w:spacing w:after="0" w:line="277" w:lineRule="auto"/>
        <w:tabs>
          <w:tab w:leader="none" w:pos="174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transfer, sale, delivery, surrender or endorsement (or lack thereof) of any Drawing Document at any time(s) held by any such Letter of Credit Related Person in connection with any UK Letter of Credit;</w:t>
      </w:r>
    </w:p>
    <w:p>
      <w:pPr>
        <w:spacing w:after="0" w:line="62" w:lineRule="exact"/>
        <w:rPr>
          <w:rFonts w:ascii="Arial" w:cs="Arial" w:eastAsia="Arial" w:hAnsi="Arial"/>
          <w:sz w:val="18"/>
          <w:szCs w:val="18"/>
          <w:color w:val="auto"/>
        </w:rPr>
      </w:pPr>
    </w:p>
    <w:p>
      <w:pPr>
        <w:ind w:right="180" w:firstLine="1492"/>
        <w:spacing w:after="0" w:line="264" w:lineRule="auto"/>
        <w:tabs>
          <w:tab w:leader="none" w:pos="179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action or proceeding arising out of, or in connection with, any UK Letter of Credit (whether administrative, judicial or in connection with arbitration), including any action or proceeding to compel or restrain any presentation or payment under any UK Letter of Credit, or for the wrongful dishonor of, or honoring a presentation under, any UK Letter of Credit;</w:t>
      </w:r>
    </w:p>
    <w:p>
      <w:pPr>
        <w:spacing w:after="0" w:line="73" w:lineRule="exact"/>
        <w:rPr>
          <w:rFonts w:ascii="Arial" w:cs="Arial" w:eastAsia="Arial" w:hAnsi="Arial"/>
          <w:sz w:val="18"/>
          <w:szCs w:val="18"/>
          <w:color w:val="auto"/>
        </w:rPr>
      </w:pPr>
    </w:p>
    <w:p>
      <w:pPr>
        <w:ind w:left="1800" w:hanging="308"/>
        <w:spacing w:after="0"/>
        <w:tabs>
          <w:tab w:leader="none" w:pos="18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independent undertakings issued by the beneficiary of any UK Letter of Credit;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274" w:right="239" w:bottom="1440" w:gutter="0" w:footer="0" w:header="0"/>
        </w:sectPr>
      </w:pPr>
    </w:p>
    <w:bookmarkStart w:id="147" w:name="page148"/>
    <w:bookmarkEnd w:id="147"/>
    <w:p>
      <w:pPr>
        <w:jc w:val="both"/>
        <w:ind w:right="400" w:firstLine="1492"/>
        <w:spacing w:after="0" w:line="264" w:lineRule="auto"/>
        <w:tabs>
          <w:tab w:leader="none" w:pos="1738"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unauthorized instruction or request made to UK Issuing Lender in connection with any UK Letter of Credit or requested UK Letter of Credit, or any error, omission, interruption or delay in such instruction or request, whether transmitted by mail, courier, electronic transmission, SWIFT, or any other telecommunication including communications through a correspondent;</w:t>
      </w:r>
    </w:p>
    <w:p>
      <w:pPr>
        <w:spacing w:after="0" w:line="73" w:lineRule="exact"/>
        <w:rPr>
          <w:rFonts w:ascii="Arial" w:cs="Arial" w:eastAsia="Arial" w:hAnsi="Arial"/>
          <w:sz w:val="18"/>
          <w:szCs w:val="18"/>
          <w:color w:val="auto"/>
        </w:rPr>
      </w:pPr>
    </w:p>
    <w:p>
      <w:pPr>
        <w:ind w:left="1800" w:hanging="308"/>
        <w:spacing w:after="0"/>
        <w:tabs>
          <w:tab w:leader="none" w:pos="18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 adviser, confirmer or other nominated person seeking to be reimbursed, indemnified or compensated in connection with any UK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 of Credit;</w:t>
      </w:r>
    </w:p>
    <w:p>
      <w:pPr>
        <w:spacing w:after="0" w:line="102" w:lineRule="exact"/>
        <w:rPr>
          <w:rFonts w:ascii="Arial" w:cs="Arial" w:eastAsia="Arial" w:hAnsi="Arial"/>
          <w:sz w:val="16"/>
          <w:szCs w:val="16"/>
          <w:color w:val="auto"/>
        </w:rPr>
      </w:pPr>
    </w:p>
    <w:p>
      <w:pPr>
        <w:ind w:right="380" w:firstLine="1492"/>
        <w:spacing w:after="0" w:line="277" w:lineRule="auto"/>
        <w:tabs>
          <w:tab w:leader="none" w:pos="183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third party seeking to enforce the rights of an applicant, beneficiary, nominated person, transferee, assignee of UK Letter of Credit proceeds or holder of an instrument or document;</w:t>
      </w:r>
    </w:p>
    <w:p>
      <w:pPr>
        <w:spacing w:after="0" w:line="62" w:lineRule="exact"/>
        <w:rPr>
          <w:rFonts w:ascii="Arial" w:cs="Arial" w:eastAsia="Arial" w:hAnsi="Arial"/>
          <w:sz w:val="18"/>
          <w:szCs w:val="18"/>
          <w:color w:val="auto"/>
        </w:rPr>
      </w:pPr>
    </w:p>
    <w:p>
      <w:pPr>
        <w:ind w:left="1900" w:hanging="408"/>
        <w:spacing w:after="0"/>
        <w:tabs>
          <w:tab w:leader="none" w:pos="1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fraud, forgery or illegal action of parties in connection with a UK Letter of Credit other than the Letter of Credit Related Person;</w:t>
      </w:r>
    </w:p>
    <w:p>
      <w:pPr>
        <w:spacing w:after="0" w:line="140" w:lineRule="exact"/>
        <w:rPr>
          <w:rFonts w:ascii="Arial" w:cs="Arial" w:eastAsia="Arial" w:hAnsi="Arial"/>
          <w:sz w:val="16"/>
          <w:szCs w:val="16"/>
          <w:color w:val="auto"/>
        </w:rPr>
      </w:pPr>
    </w:p>
    <w:p>
      <w:pPr>
        <w:ind w:right="700" w:firstLine="1492"/>
        <w:spacing w:after="0" w:line="277" w:lineRule="auto"/>
        <w:tabs>
          <w:tab w:leader="none" w:pos="178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prohibition on payment or delay in payment of any amount payable by UK Issuing Lender to a beneficiary or transferee beneficiary of a UK Letter of Credit arising out of Anti-Corruption Laws, Anti-Money Laundering Laws, or Sanctions;</w:t>
      </w:r>
    </w:p>
    <w:p>
      <w:pPr>
        <w:spacing w:after="0" w:line="62" w:lineRule="exact"/>
        <w:rPr>
          <w:rFonts w:ascii="Arial" w:cs="Arial" w:eastAsia="Arial" w:hAnsi="Arial"/>
          <w:sz w:val="18"/>
          <w:szCs w:val="18"/>
          <w:color w:val="auto"/>
        </w:rPr>
      </w:pPr>
    </w:p>
    <w:p>
      <w:pPr>
        <w:ind w:right="120" w:firstLine="1492"/>
        <w:spacing w:after="0" w:line="277" w:lineRule="auto"/>
        <w:tabs>
          <w:tab w:leader="none" w:pos="173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UK Issuing Lender’s performance of the obligations of a confirming institution or entity that wrongfully dishonors a confirmation in connection with a UK Letter of Credit;</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foreign language translation provided to UK Issuing Lender in connection with any UK Letter of Credit;</w:t>
      </w:r>
    </w:p>
    <w:p>
      <w:pPr>
        <w:spacing w:after="0" w:line="117" w:lineRule="exact"/>
        <w:rPr>
          <w:rFonts w:ascii="Arial" w:cs="Arial" w:eastAsia="Arial" w:hAnsi="Arial"/>
          <w:sz w:val="18"/>
          <w:szCs w:val="18"/>
          <w:color w:val="auto"/>
        </w:rPr>
      </w:pPr>
    </w:p>
    <w:p>
      <w:pPr>
        <w:ind w:right="380" w:firstLine="1492"/>
        <w:spacing w:after="0" w:line="264" w:lineRule="auto"/>
        <w:tabs>
          <w:tab w:leader="none" w:pos="183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foreign law or usage as it relates to UK Issuing Lender’s issuance of a UK Letter of Credit in support of a foreign guaranty including without limitation the expiration of such guaranty after the related UK Letter of Credit expiration date and any resulting drawing paid by UK Issuing Lender in connection therewith; or</w:t>
      </w:r>
    </w:p>
    <w:p>
      <w:pPr>
        <w:spacing w:after="0" w:line="73" w:lineRule="exact"/>
        <w:rPr>
          <w:rFonts w:ascii="Arial" w:cs="Arial" w:eastAsia="Arial" w:hAnsi="Arial"/>
          <w:sz w:val="18"/>
          <w:szCs w:val="18"/>
          <w:color w:val="auto"/>
        </w:rPr>
      </w:pPr>
    </w:p>
    <w:p>
      <w:pPr>
        <w:ind w:right="20" w:firstLine="1492"/>
        <w:spacing w:after="0" w:line="277" w:lineRule="auto"/>
        <w:tabs>
          <w:tab w:leader="none" w:pos="188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acts or omissions, whether rightful or wrongful, of any present or future de jure or de facto governmental or regulatory authority or cause or event beyond the control of the Letter of Credit Related Person related to a UK Letter of Credit;</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bad faith or willful misconduct of the Letter of Credit Related Person claiming indemnity. UK Borrowers hereby agree to pay the Letter of Credit Related Person claiming indemnity on demand from time to time all amounts owing under this </w:t>
      </w:r>
      <w:r>
        <w:rPr>
          <w:rFonts w:ascii="Arial" w:cs="Arial" w:eastAsia="Arial" w:hAnsi="Arial"/>
          <w:sz w:val="18"/>
          <w:szCs w:val="18"/>
          <w:u w:val="single" w:color="auto"/>
          <w:color w:val="auto"/>
        </w:rPr>
        <w:t>Section 2.11C(f)</w:t>
      </w:r>
      <w:r>
        <w:rPr>
          <w:rFonts w:ascii="Arial" w:cs="Arial" w:eastAsia="Arial" w:hAnsi="Arial"/>
          <w:sz w:val="18"/>
          <w:szCs w:val="18"/>
          <w:color w:val="auto"/>
        </w:rPr>
        <w:t xml:space="preserve">. If and to the extent that the obligations of UK Borrowers under this </w:t>
      </w:r>
      <w:r>
        <w:rPr>
          <w:rFonts w:ascii="Arial" w:cs="Arial" w:eastAsia="Arial" w:hAnsi="Arial"/>
          <w:sz w:val="18"/>
          <w:szCs w:val="18"/>
          <w:u w:val="single" w:color="auto"/>
          <w:color w:val="auto"/>
        </w:rPr>
        <w:t>Section 2.11C(f)</w:t>
      </w:r>
      <w:r>
        <w:rPr>
          <w:rFonts w:ascii="Arial" w:cs="Arial" w:eastAsia="Arial" w:hAnsi="Arial"/>
          <w:sz w:val="18"/>
          <w:szCs w:val="18"/>
          <w:color w:val="auto"/>
        </w:rPr>
        <w:t xml:space="preserve"> are unenforceable for any reason, UK Borrowers agree to make the maximum contribution to the Letter of Credit Indemnified Costs permissible under applicable law. This indemnification provision shall survive termination of this Agreement and all UK Letters of Credit.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274" w:right="239" w:bottom="1440" w:gutter="0" w:footer="0" w:header="0"/>
        </w:sectPr>
      </w:pPr>
    </w:p>
    <w:bookmarkStart w:id="148" w:name="page149"/>
    <w:bookmarkEnd w:id="148"/>
    <w:p>
      <w:pPr>
        <w:ind w:left="-20" w:firstLine="921"/>
        <w:spacing w:after="0" w:line="268" w:lineRule="auto"/>
        <w:tabs>
          <w:tab w:leader="none" w:pos="1148" w:val="left"/>
        </w:tabs>
        <w:numPr>
          <w:ilvl w:val="0"/>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liability of UK Issuing Lender (or any other Letter of Credit Related Person) under, in connection with or arising out of any UK Letter of Credit (or pre-advice), regardless of the form or legal grounds of the action or proceeding, shall be limited to direct damages suffered by UK Borrowers that are caused by UK Issuing Lender’s gross negligence, bad faith or willful misconduct in (i) honoring a presentation under a UK Letter of Credit that on its face does not at least substantially comply with the terms and conditions of such UK Letter of Credit, (ii) failing to honor a presentation under a UK Letter of Credit that strictly complies with the terms and conditions of such UK Letter of Credit or (iii) retaining Drawing Documents presented under a UK Letter of Credit. UK Borrowers’ aggregate remedies against UK Issuing Lender and any UK Letter of Credit Related Person for wrongfully honoring a presentation under any UK Letter of Credit or wrongfully retaining honored Drawing Documents shall in no event exceed the aggregate amount paid by UK Borrowers to UK Issuing Lender in respect of the honored presentation in connection with such UK Letter of Credit under </w:t>
      </w:r>
      <w:r>
        <w:rPr>
          <w:rFonts w:ascii="Arial" w:cs="Arial" w:eastAsia="Arial" w:hAnsi="Arial"/>
          <w:sz w:val="17"/>
          <w:szCs w:val="17"/>
          <w:u w:val="single" w:color="auto"/>
          <w:color w:val="auto"/>
        </w:rPr>
        <w:t>Section 2.11C(d)</w:t>
      </w:r>
      <w:r>
        <w:rPr>
          <w:rFonts w:ascii="Arial" w:cs="Arial" w:eastAsia="Arial" w:hAnsi="Arial"/>
          <w:sz w:val="17"/>
          <w:szCs w:val="17"/>
          <w:color w:val="auto"/>
        </w:rPr>
        <w:t>, plus interest at the rate then applicable to UK Revolving Loans that are Base Rate Loans hereunder. UK Borrowers shall take action to avoid and mitigate the amount of any damages claimed against UK Issuing Lender or any other UK Letter of Credit Related Person, including by enforcing its rights against the beneficiaries of the UK Letters of Credit. Any claim by UK Borrowers under or in connection with any UK Letter of Credit shall be reduced by an amount equal to the sum of (x) the amount (if any) saved by UK Borrowers as a result of the breach or alleged wrongful conduct complained of, and (y) the amount (if any) of the loss that would have been avoided had UK Borrowers taken all reasonable steps to mitigate any loss, and in case of a claim of wrongful dishonor, by specifically and timely authorizing UK Issuing Lender to effect a cure.</w:t>
      </w:r>
    </w:p>
    <w:p>
      <w:pPr>
        <w:spacing w:after="0" w:line="77" w:lineRule="exact"/>
        <w:rPr>
          <w:rFonts w:ascii="Arial" w:cs="Arial" w:eastAsia="Arial" w:hAnsi="Arial"/>
          <w:sz w:val="17"/>
          <w:szCs w:val="17"/>
          <w:color w:val="auto"/>
        </w:rPr>
      </w:pPr>
    </w:p>
    <w:p>
      <w:pPr>
        <w:ind w:left="-20" w:right="20" w:firstLine="921"/>
        <w:spacing w:after="0" w:line="268" w:lineRule="auto"/>
        <w:tabs>
          <w:tab w:leader="none" w:pos="114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UK Borrowers are responsible for the final text of the UK Letter of Credit as issued by UK Issuing Lender, irrespective of any assistance UK Issuing Lender may provide such as drafting or recommending text or by UK Issuing Lender’s use or refusal to use text submitted by UK Borrowers. UK Borrowers understand that the final form of any UK Letter of Credit may be subject to such revisions and changes as are deemed necessary or appropriate by UK Issuing Lender, and UK Borrowers hereby consent to such revisions and changes not materially different from the application executed in connection therewith. UK Borrowers are solely responsible for the suitability of the UK Letter of Credit for UK Borrowers’ purposes. If UK Borrowers request UK Issuing Lender to issue a UK Letter of Credit for an Account Party, (i) such Account Party shall have no rights against UK Issuing Lender; (ii) UK Borrowers shall be responsible for the application and obligations under this Agreement; and (iii) communications (including notices) related to the respective UK Letter of Credit shall be among UK Issuing Lender and UK Borrowers. UK Borrowers will examine the copy of the UK Letter of Credit and any other documents sent by UK Issuing Lender in connection therewith and shall promptly notify UK Issuing Lender (not later than three (3) Business Days following UK Borrowers’ receipt of documents from UK Issuing Lender) of any non-compliance with UK Borrowers’ instructions and of any discrepancy in any document under any presentment or other irregularity. UK Borrowers understand and agree that UK Issuing Lender is not required to extend the expiration date of any UK Letter of Credit for any reason. With respect to any UK Letter of Credit containing an “automatic amendment” to extend the expiration date of such UK Letter of Credit UK Issuing Lender, in its sole and absolute discretion, may give notice of nonrenewal of such UK Letter of Credit and, if UK Borrowers do not at any time want the then current expiration date of such UK Letter of Credit to be extended, UK Borrowers will so notify Agent and UK Issuing Lender at least 30 calendar days before UK Issuing Lender is required to notify the beneficiary of such UK Letter of Credit or any advising bank of such non-extension pursuant to the terms of such UK Letter of Credit.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60" w:top="274" w:right="259" w:bottom="1440" w:gutter="0" w:footer="0" w:header="0"/>
        </w:sectPr>
      </w:pPr>
    </w:p>
    <w:bookmarkStart w:id="149" w:name="page150"/>
    <w:bookmarkEnd w:id="149"/>
    <w:p>
      <w:pPr>
        <w:ind w:right="340" w:firstLine="921"/>
        <w:spacing w:after="0" w:line="277" w:lineRule="auto"/>
        <w:tabs>
          <w:tab w:leader="none" w:pos="11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UK Borrowers’ reimbursement and payment obligations under this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are absolute, unconditional and irrevocable and shall be performed strictly in accordance with the terms of this Agreement under any and all circumstances whatsoever, including:</w:t>
      </w:r>
    </w:p>
    <w:p>
      <w:pPr>
        <w:spacing w:after="0" w:line="62" w:lineRule="exact"/>
        <w:rPr>
          <w:rFonts w:ascii="Arial" w:cs="Arial" w:eastAsia="Arial" w:hAnsi="Arial"/>
          <w:sz w:val="18"/>
          <w:szCs w:val="18"/>
          <w:color w:val="auto"/>
        </w:rPr>
      </w:pPr>
    </w:p>
    <w:p>
      <w:pPr>
        <w:ind w:right="500" w:firstLine="1492"/>
        <w:spacing w:after="0" w:line="277" w:lineRule="auto"/>
        <w:tabs>
          <w:tab w:leader="none" w:pos="169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lack of validity, enforceability or legal effect of any UK Letter of Credit, any Issuer Document, this Agreement or any Loan Document or any term or provision therein or herein;</w:t>
      </w:r>
    </w:p>
    <w:p>
      <w:pPr>
        <w:spacing w:after="0" w:line="62" w:lineRule="exact"/>
        <w:rPr>
          <w:rFonts w:ascii="Arial" w:cs="Arial" w:eastAsia="Arial" w:hAnsi="Arial"/>
          <w:sz w:val="18"/>
          <w:szCs w:val="18"/>
          <w:color w:val="auto"/>
        </w:rPr>
      </w:pPr>
    </w:p>
    <w:p>
      <w:pPr>
        <w:jc w:val="both"/>
        <w:ind w:firstLine="1492"/>
        <w:spacing w:after="0" w:line="259" w:lineRule="auto"/>
        <w:tabs>
          <w:tab w:leader="none" w:pos="174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payment against presentation of any draft, demand or claim for payment under any Drawing Document that does not comply in whole or in part with the terms of the applicable UK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UK Letter of Credit;</w:t>
      </w:r>
    </w:p>
    <w:p>
      <w:pPr>
        <w:spacing w:after="0" w:line="78" w:lineRule="exact"/>
        <w:rPr>
          <w:rFonts w:ascii="Arial" w:cs="Arial" w:eastAsia="Arial" w:hAnsi="Arial"/>
          <w:sz w:val="18"/>
          <w:szCs w:val="18"/>
          <w:color w:val="auto"/>
        </w:rPr>
      </w:pPr>
    </w:p>
    <w:p>
      <w:pPr>
        <w:ind w:left="1800" w:hanging="308"/>
        <w:spacing w:after="0"/>
        <w:tabs>
          <w:tab w:leader="none" w:pos="18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UK Issuing Lender or any of its branches or Affiliates being the beneficiary of any UK Letter of Credit;</w:t>
      </w:r>
    </w:p>
    <w:p>
      <w:pPr>
        <w:spacing w:after="0" w:line="117" w:lineRule="exact"/>
        <w:rPr>
          <w:rFonts w:ascii="Arial" w:cs="Arial" w:eastAsia="Arial" w:hAnsi="Arial"/>
          <w:sz w:val="18"/>
          <w:szCs w:val="18"/>
          <w:color w:val="auto"/>
        </w:rPr>
      </w:pPr>
    </w:p>
    <w:p>
      <w:pPr>
        <w:ind w:right="60" w:firstLine="1492"/>
        <w:spacing w:after="0" w:line="308" w:lineRule="auto"/>
        <w:tabs>
          <w:tab w:leader="none" w:pos="178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UK Issuing Lender or any correspondent honoring a drawing against a Drawing Document up to the amount available under any UK Letter of Credit even if such Drawing Document claims an amount in excess of the amount available under the UK Letter of Credit;</w:t>
      </w:r>
    </w:p>
    <w:p>
      <w:pPr>
        <w:spacing w:after="0" w:line="38" w:lineRule="exact"/>
        <w:rPr>
          <w:rFonts w:ascii="Arial" w:cs="Arial" w:eastAsia="Arial" w:hAnsi="Arial"/>
          <w:sz w:val="17"/>
          <w:szCs w:val="17"/>
          <w:color w:val="auto"/>
        </w:rPr>
      </w:pPr>
    </w:p>
    <w:p>
      <w:pPr>
        <w:ind w:right="40" w:firstLine="1492"/>
        <w:spacing w:after="0" w:line="277" w:lineRule="auto"/>
        <w:tabs>
          <w:tab w:leader="none" w:pos="173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any Parent or any of their Subsidiaries may have at any time against any beneficiary or transferee beneficiary, any assignee of proceeds, UK Issuing Lender or any other Person;</w:t>
      </w:r>
    </w:p>
    <w:p>
      <w:pPr>
        <w:spacing w:after="0" w:line="62" w:lineRule="exact"/>
        <w:rPr>
          <w:rFonts w:ascii="Arial" w:cs="Arial" w:eastAsia="Arial" w:hAnsi="Arial"/>
          <w:sz w:val="18"/>
          <w:szCs w:val="18"/>
          <w:color w:val="auto"/>
        </w:rPr>
      </w:pPr>
    </w:p>
    <w:p>
      <w:pPr>
        <w:ind w:right="140" w:firstLine="1492"/>
        <w:spacing w:after="0" w:line="264" w:lineRule="auto"/>
        <w:tabs>
          <w:tab w:leader="none" w:pos="178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UK Issuing Lender or any correspondent honoring a drawing upon receipt of an electronic presentation under a UK Letter of Credit requiring the same, regardless of whether the original Drawing Documents arrive at UK Issuing Lender’s counters or are different from the electronic presentation;</w:t>
      </w:r>
    </w:p>
    <w:p>
      <w:pPr>
        <w:spacing w:after="0" w:line="73" w:lineRule="exact"/>
        <w:rPr>
          <w:rFonts w:ascii="Arial" w:cs="Arial" w:eastAsia="Arial" w:hAnsi="Arial"/>
          <w:sz w:val="18"/>
          <w:szCs w:val="18"/>
          <w:color w:val="auto"/>
        </w:rPr>
      </w:pPr>
    </w:p>
    <w:p>
      <w:pPr>
        <w:ind w:left="1840" w:hanging="348"/>
        <w:spacing w:after="0"/>
        <w:tabs>
          <w:tab w:leader="none" w:pos="184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any other event, circumstance or conduct whatsoever, whether or not similar to any of the foregoing that might, but for this</w:t>
      </w:r>
    </w:p>
    <w:p>
      <w:pPr>
        <w:spacing w:after="0" w:line="35"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Section 2.11C(i), constitute a legal or equitable defense to or discharge of, or provide a right of set-off against, Parents’ or any of their Subsidiaries’ reimbursement and other payment obligations and liabilities, arising under, or in connection with, any UK Letter of Credit, whether against UK Issuing Lender, the beneficiary or any other Person; or</w:t>
      </w:r>
    </w:p>
    <w:p>
      <w:pPr>
        <w:spacing w:after="0" w:line="82" w:lineRule="exact"/>
        <w:rPr>
          <w:sz w:val="20"/>
          <w:szCs w:val="20"/>
          <w:color w:val="auto"/>
        </w:rPr>
      </w:pPr>
    </w:p>
    <w:p>
      <w:pPr>
        <w:ind w:left="5520" w:right="3520" w:hanging="4028"/>
        <w:spacing w:after="0" w:line="449" w:lineRule="auto"/>
        <w:tabs>
          <w:tab w:leader="none" w:pos="189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fact that any Default or Event of Default shall have occurred and be continuing; -139-</w:t>
      </w:r>
    </w:p>
    <w:p>
      <w:pPr>
        <w:sectPr>
          <w:pgSz w:w="11900" w:h="16838" w:orient="portrait"/>
          <w:cols w:equalWidth="0" w:num="1">
            <w:col w:w="11420"/>
          </w:cols>
          <w:pgMar w:left="240" w:top="274" w:right="239" w:bottom="1440" w:gutter="0" w:footer="0" w:header="0"/>
        </w:sectPr>
      </w:pPr>
    </w:p>
    <w:bookmarkStart w:id="150" w:name="page151"/>
    <w:bookmarkEnd w:id="150"/>
    <w:p>
      <w:pPr>
        <w:ind w:right="24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2.11C(g)</w:t>
      </w:r>
      <w:r>
        <w:rPr>
          <w:rFonts w:ascii="Arial" w:cs="Arial" w:eastAsia="Arial" w:hAnsi="Arial"/>
          <w:sz w:val="18"/>
          <w:szCs w:val="18"/>
          <w:color w:val="auto"/>
        </w:rPr>
        <w:t xml:space="preserve"> above, the foregoing shall not release UK Issuing Lender from such liability to UK Borrowers as may be determined in a final, non-appealable judgment of a court of competent jurisdiction against UK Issuing Lender following reimbursement or payment of the obligations and liabilities, including reimbursement and other payment obligations, of UK Borrowers to UK Issuing Lender arising under, or in connection with, this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any UK Letter of Credit.</w:t>
      </w:r>
    </w:p>
    <w:p>
      <w:pPr>
        <w:spacing w:after="0" w:line="79" w:lineRule="exact"/>
        <w:rPr>
          <w:sz w:val="20"/>
          <w:szCs w:val="20"/>
          <w:color w:val="auto"/>
        </w:rPr>
      </w:pPr>
    </w:p>
    <w:p>
      <w:pPr>
        <w:jc w:val="both"/>
        <w:ind w:right="320" w:firstLine="921"/>
        <w:spacing w:after="0" w:line="264" w:lineRule="auto"/>
        <w:tabs>
          <w:tab w:leader="none" w:pos="112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UK Issuing Lender and each other Letter of Credit Related Person (if applicable) shall not be responsible to UK Borrowers for, and UK Issuing Lender’s rights and remedies against UK Borrowers and the obligation of UK Borrowers to reimburse UK Issuing Lender for each drawing under each UK Letter of Credit shall not be impaired by:</w:t>
      </w:r>
    </w:p>
    <w:p>
      <w:pPr>
        <w:spacing w:after="0" w:line="73" w:lineRule="exact"/>
        <w:rPr>
          <w:rFonts w:ascii="Arial" w:cs="Arial" w:eastAsia="Arial" w:hAnsi="Arial"/>
          <w:sz w:val="18"/>
          <w:szCs w:val="18"/>
          <w:color w:val="auto"/>
        </w:rPr>
      </w:pPr>
    </w:p>
    <w:p>
      <w:pPr>
        <w:ind w:right="20" w:firstLine="1492"/>
        <w:spacing w:after="0" w:line="277" w:lineRule="auto"/>
        <w:tabs>
          <w:tab w:leader="none" w:pos="169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honor of a presentation under any UK Letter of Credit that on its face substantially complies with the terms and conditions of such UK Letter of Credit, even if the UK Letter of Credit requires strict compliance by the beneficiary;</w:t>
      </w:r>
    </w:p>
    <w:p>
      <w:pPr>
        <w:spacing w:after="0" w:line="62" w:lineRule="exact"/>
        <w:rPr>
          <w:rFonts w:ascii="Arial" w:cs="Arial" w:eastAsia="Arial" w:hAnsi="Arial"/>
          <w:sz w:val="18"/>
          <w:szCs w:val="18"/>
          <w:color w:val="auto"/>
        </w:rPr>
      </w:pPr>
    </w:p>
    <w:p>
      <w:pPr>
        <w:ind w:firstLine="1492"/>
        <w:spacing w:after="0" w:line="264" w:lineRule="auto"/>
        <w:tabs>
          <w:tab w:leader="none" w:pos="174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73" w:lineRule="exact"/>
        <w:rPr>
          <w:rFonts w:ascii="Arial" w:cs="Arial" w:eastAsia="Arial" w:hAnsi="Arial"/>
          <w:sz w:val="18"/>
          <w:szCs w:val="18"/>
          <w:color w:val="auto"/>
        </w:rPr>
      </w:pPr>
    </w:p>
    <w:p>
      <w:pPr>
        <w:jc w:val="both"/>
        <w:ind w:right="100" w:firstLine="1492"/>
        <w:spacing w:after="0" w:line="342" w:lineRule="auto"/>
        <w:tabs>
          <w:tab w:leader="none" w:pos="179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acceptance as a draft of any written or electronic demand or request for payment under a UK Letter of Credit, even if nonnegotiable or not in the form of a draft or notwithstanding any requirement that such draft, demand or request bear any or adequate reference to the UK Letter of Credit;</w:t>
      </w:r>
    </w:p>
    <w:p>
      <w:pPr>
        <w:spacing w:after="0" w:line="15" w:lineRule="exact"/>
        <w:rPr>
          <w:rFonts w:ascii="Arial" w:cs="Arial" w:eastAsia="Arial" w:hAnsi="Arial"/>
          <w:sz w:val="16"/>
          <w:szCs w:val="16"/>
          <w:color w:val="auto"/>
        </w:rPr>
      </w:pPr>
    </w:p>
    <w:p>
      <w:pPr>
        <w:ind w:right="280" w:firstLine="1492"/>
        <w:spacing w:after="0" w:line="264" w:lineRule="auto"/>
        <w:tabs>
          <w:tab w:leader="none" w:pos="178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identity or authority of any presenter or signer of any Drawing Document or the form, accuracy, genuineness or legal effect of any Drawing Document (other than UK Issuing Lender’s determination that such Drawing Document appears on its face substantially to comply with the terms and conditions of the UK Letter of Credit);</w:t>
      </w:r>
    </w:p>
    <w:p>
      <w:pPr>
        <w:spacing w:after="0" w:line="73" w:lineRule="exact"/>
        <w:rPr>
          <w:rFonts w:ascii="Arial" w:cs="Arial" w:eastAsia="Arial" w:hAnsi="Arial"/>
          <w:sz w:val="18"/>
          <w:szCs w:val="18"/>
          <w:color w:val="auto"/>
        </w:rPr>
      </w:pPr>
    </w:p>
    <w:p>
      <w:pPr>
        <w:ind w:right="260" w:firstLine="1492"/>
        <w:spacing w:after="0" w:line="277" w:lineRule="auto"/>
        <w:tabs>
          <w:tab w:leader="none" w:pos="173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acting upon any instruction or request relative to a UK Letter of Credit or requested UK Letter of Credit that UK Issuing Lender in good faith believes to have been given by a Person authorized to give such instruction or request;</w:t>
      </w:r>
    </w:p>
    <w:p>
      <w:pPr>
        <w:spacing w:after="0" w:line="62" w:lineRule="exact"/>
        <w:rPr>
          <w:rFonts w:ascii="Arial" w:cs="Arial" w:eastAsia="Arial" w:hAnsi="Arial"/>
          <w:sz w:val="18"/>
          <w:szCs w:val="18"/>
          <w:color w:val="auto"/>
        </w:rPr>
      </w:pPr>
    </w:p>
    <w:p>
      <w:pPr>
        <w:ind w:right="20" w:firstLine="1492"/>
        <w:spacing w:after="0" w:line="342" w:lineRule="auto"/>
        <w:tabs>
          <w:tab w:leader="none" w:pos="178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UK Borrower;</w:t>
      </w:r>
    </w:p>
    <w:p>
      <w:pPr>
        <w:spacing w:after="0" w:line="15" w:lineRule="exact"/>
        <w:rPr>
          <w:rFonts w:ascii="Arial" w:cs="Arial" w:eastAsia="Arial" w:hAnsi="Arial"/>
          <w:sz w:val="16"/>
          <w:szCs w:val="16"/>
          <w:color w:val="auto"/>
        </w:rPr>
      </w:pPr>
    </w:p>
    <w:p>
      <w:pPr>
        <w:jc w:val="both"/>
        <w:ind w:right="340" w:firstLine="1492"/>
        <w:spacing w:after="0" w:line="342" w:lineRule="auto"/>
        <w:tabs>
          <w:tab w:leader="none" w:pos="183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any acts, omissions or fraud by, or the insolvency of, any beneficiary, any nominated person or entity or any other Person or any breach of contract between any beneficiary and any Borrower or any of the parties to the underlying transaction to which the UK Letter of Credit relates;</w:t>
      </w:r>
    </w:p>
    <w:p>
      <w:pPr>
        <w:spacing w:after="0" w:line="15" w:lineRule="exact"/>
        <w:rPr>
          <w:rFonts w:ascii="Arial" w:cs="Arial" w:eastAsia="Arial" w:hAnsi="Arial"/>
          <w:sz w:val="16"/>
          <w:szCs w:val="16"/>
          <w:color w:val="auto"/>
        </w:rPr>
      </w:pPr>
    </w:p>
    <w:p>
      <w:pPr>
        <w:ind w:right="800" w:firstLine="1492"/>
        <w:spacing w:after="0" w:line="277" w:lineRule="auto"/>
        <w:tabs>
          <w:tab w:leader="none" w:pos="188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assertion or waiver of any provision of the ISP or UCP that primarily benefits an issuer of a letter of credit, including any requirement that any Drawing Document be presented to it at a particular hour or place;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74" w:right="239" w:bottom="1440" w:gutter="0" w:footer="0" w:header="0"/>
        </w:sectPr>
      </w:pPr>
    </w:p>
    <w:bookmarkStart w:id="151" w:name="page152"/>
    <w:bookmarkEnd w:id="151"/>
    <w:p>
      <w:pPr>
        <w:ind w:left="-20" w:right="660" w:firstLine="1492"/>
        <w:spacing w:after="0" w:line="277" w:lineRule="auto"/>
        <w:tabs>
          <w:tab w:leader="none" w:pos="1768"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to any presenting bank (designated or permitted by the terms of the applicable UK Letter of Credit) claiming that it rightfully honored or is entitled to reimbursement or indemnity under Standard Letter of Credit Practice applicable to it;</w:t>
      </w:r>
    </w:p>
    <w:p>
      <w:pPr>
        <w:spacing w:after="0" w:line="62" w:lineRule="exact"/>
        <w:rPr>
          <w:rFonts w:ascii="Arial" w:cs="Arial" w:eastAsia="Arial" w:hAnsi="Arial"/>
          <w:sz w:val="18"/>
          <w:szCs w:val="18"/>
          <w:color w:val="auto"/>
        </w:rPr>
      </w:pPr>
    </w:p>
    <w:p>
      <w:pPr>
        <w:ind w:left="-20" w:right="200" w:firstLine="1492"/>
        <w:spacing w:after="0" w:line="277" w:lineRule="auto"/>
        <w:tabs>
          <w:tab w:leader="none" w:pos="171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acting or failing to act as required or permitted under Standard Letter of Credit Practice applicable to where UK Issuing Lender has issued, confirmed, advised or negotiated such UK Letter of Credit, as the case may be;</w:t>
      </w:r>
    </w:p>
    <w:p>
      <w:pPr>
        <w:spacing w:after="0" w:line="62" w:lineRule="exact"/>
        <w:rPr>
          <w:rFonts w:ascii="Arial" w:cs="Arial" w:eastAsia="Arial" w:hAnsi="Arial"/>
          <w:sz w:val="18"/>
          <w:szCs w:val="18"/>
          <w:color w:val="auto"/>
        </w:rPr>
      </w:pPr>
    </w:p>
    <w:p>
      <w:pPr>
        <w:ind w:left="-20" w:right="300" w:firstLine="1492"/>
        <w:spacing w:after="0" w:line="264" w:lineRule="auto"/>
        <w:tabs>
          <w:tab w:leader="none" w:pos="176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honor of a presentation after the expiration date of any UK Letter of Credit notwithstanding that a presentation was made prior to such expiration date and dishonored by UK Issuing Lender if subsequently UK Issuing Lender or any court or other finder of fact determines such presentation should have been honored;</w:t>
      </w:r>
    </w:p>
    <w:p>
      <w:pPr>
        <w:spacing w:after="0" w:line="73" w:lineRule="exact"/>
        <w:rPr>
          <w:rFonts w:ascii="Arial" w:cs="Arial" w:eastAsia="Arial" w:hAnsi="Arial"/>
          <w:sz w:val="18"/>
          <w:szCs w:val="18"/>
          <w:color w:val="auto"/>
        </w:rPr>
      </w:pPr>
    </w:p>
    <w:p>
      <w:pPr>
        <w:ind w:left="1820" w:hanging="348"/>
        <w:spacing w:after="0"/>
        <w:tabs>
          <w:tab w:leader="none" w:pos="18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dishonor of any presentation that does not strictly comply or that is fraudulent, forged or otherwise not entitled to honor; or</w:t>
      </w:r>
    </w:p>
    <w:p>
      <w:pPr>
        <w:spacing w:after="0" w:line="128" w:lineRule="exact"/>
        <w:rPr>
          <w:rFonts w:ascii="Arial" w:cs="Arial" w:eastAsia="Arial" w:hAnsi="Arial"/>
          <w:sz w:val="17"/>
          <w:szCs w:val="17"/>
          <w:color w:val="auto"/>
        </w:rPr>
      </w:pPr>
    </w:p>
    <w:p>
      <w:pPr>
        <w:ind w:left="-20" w:right="420" w:firstLine="1492"/>
        <w:spacing w:after="0" w:line="277" w:lineRule="auto"/>
        <w:tabs>
          <w:tab w:leader="none" w:pos="186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honor of a presentation that is subsequently determined by UK Issuing Lender to have been made in violation of international, federal, state or local restrictions on the transaction of business with certain prohibited Persons.</w:t>
      </w:r>
    </w:p>
    <w:p>
      <w:pPr>
        <w:spacing w:after="0" w:line="62" w:lineRule="exact"/>
        <w:rPr>
          <w:rFonts w:ascii="Arial" w:cs="Arial" w:eastAsia="Arial" w:hAnsi="Arial"/>
          <w:sz w:val="18"/>
          <w:szCs w:val="18"/>
          <w:color w:val="auto"/>
        </w:rPr>
      </w:pPr>
    </w:p>
    <w:p>
      <w:pPr>
        <w:ind w:left="-20" w:firstLine="921"/>
        <w:spacing w:after="0" w:line="270" w:lineRule="auto"/>
        <w:tabs>
          <w:tab w:leader="none" w:pos="114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UK Borrowers shall pay promptly upon demand to Agent for the account of UK Issuing Lender as non-refundable fees, commissions, and charges (it being acknowledged and agreed that any charging of such fees, commissions, and charges to the UK Loan Account pursuant to the provisions of </w:t>
      </w:r>
      <w:r>
        <w:rPr>
          <w:rFonts w:ascii="Arial" w:cs="Arial" w:eastAsia="Arial" w:hAnsi="Arial"/>
          <w:sz w:val="17"/>
          <w:szCs w:val="17"/>
          <w:u w:val="single" w:color="auto"/>
          <w:color w:val="auto"/>
        </w:rPr>
        <w:t>Section 2.6(d)</w:t>
      </w:r>
      <w:r>
        <w:rPr>
          <w:rFonts w:ascii="Arial" w:cs="Arial" w:eastAsia="Arial" w:hAnsi="Arial"/>
          <w:sz w:val="17"/>
          <w:szCs w:val="17"/>
          <w:color w:val="auto"/>
        </w:rPr>
        <w:t xml:space="preserve"> shall be deemed to constitute a demand for payment thereof for the purposes of this </w:t>
      </w:r>
      <w:r>
        <w:rPr>
          <w:rFonts w:ascii="Arial" w:cs="Arial" w:eastAsia="Arial" w:hAnsi="Arial"/>
          <w:sz w:val="17"/>
          <w:szCs w:val="17"/>
          <w:u w:val="single" w:color="auto"/>
          <w:color w:val="auto"/>
        </w:rPr>
        <w:t>Section 2.11C(k)</w:t>
      </w:r>
      <w:r>
        <w:rPr>
          <w:rFonts w:ascii="Arial" w:cs="Arial" w:eastAsia="Arial" w:hAnsi="Arial"/>
          <w:sz w:val="17"/>
          <w:szCs w:val="17"/>
          <w:color w:val="auto"/>
        </w:rPr>
        <w:t xml:space="preserve">): (i) a fronting fee which shall be imposed by UK Issuing Lender of 0.125% per annum times the average amount of the UK Letter of Credit Usage during the immediately preceding quarter (or if an Event of Default has occurred, month) (or portion thereof),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 any and all other customary commissions, fees and charges then in effect imposed by, and any and all expenses incurred by, UK Issuing Lender, or by any adviser, confirming institution or entity or other nominated person, relating to UK Letters of Credit, at the time of issuance of any UK Letter of Credit and upon the occurrence of any other activity with respect to any UK Letter of Credit (including transfers, assignments of proceeds, amendments, drawings, renewals or cancellations). Notwithstanding the foregoing, if UK Issuing Lender is a Person other than Wells Fargo, all fronting fees payable in respect of UK Letters of Credit issued by such UK Issuing Lender shall be paid by UK Borrowers promptly upon written demand directly to such UK Issuing Lender for its own account.</w:t>
      </w:r>
    </w:p>
    <w:p>
      <w:pPr>
        <w:spacing w:after="0" w:line="69" w:lineRule="exact"/>
        <w:rPr>
          <w:rFonts w:ascii="Arial" w:cs="Arial" w:eastAsia="Arial" w:hAnsi="Arial"/>
          <w:sz w:val="17"/>
          <w:szCs w:val="17"/>
          <w:color w:val="auto"/>
        </w:rPr>
      </w:pPr>
    </w:p>
    <w:p>
      <w:pPr>
        <w:jc w:val="both"/>
        <w:ind w:left="-20" w:firstLine="921"/>
        <w:spacing w:after="0" w:line="264" w:lineRule="auto"/>
        <w:tabs>
          <w:tab w:leader="none" w:pos="110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by reason of (x) any Change in Law, or (y) compliance by UK Issuing Lender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73" w:lineRule="exact"/>
        <w:rPr>
          <w:rFonts w:ascii="Arial" w:cs="Arial" w:eastAsia="Arial" w:hAnsi="Arial"/>
          <w:sz w:val="18"/>
          <w:szCs w:val="18"/>
          <w:color w:val="auto"/>
        </w:rPr>
      </w:pPr>
    </w:p>
    <w:p>
      <w:pPr>
        <w:ind w:left="-20" w:right="120" w:firstLine="1492"/>
        <w:spacing w:after="0" w:line="277" w:lineRule="auto"/>
        <w:tabs>
          <w:tab w:leader="none" w:pos="167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reserve, deposit, or similar requirement is or shall be imposed or modified in respect of any UK Letter of Credit issued or caused to be issued hereunder or hereby, or any UK Loans or obligations to make UK Loans hereunder or hereby,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60" w:top="274" w:right="259" w:bottom="1440" w:gutter="0" w:footer="0" w:header="0"/>
        </w:sectPr>
      </w:pPr>
    </w:p>
    <w:bookmarkStart w:id="152" w:name="page153"/>
    <w:bookmarkEnd w:id="152"/>
    <w:p>
      <w:pPr>
        <w:ind w:right="60" w:firstLine="1492"/>
        <w:spacing w:after="0" w:line="277" w:lineRule="auto"/>
        <w:tabs>
          <w:tab w:leader="none" w:pos="17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shall be imposed on UK Issuing Lender or any other member of the Lender Group any other condition regarding any UK Letter of Credit, UK Loans or obligations to make UK Loans hereunder,</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and the result of the foregoing is to increase, directly or indirectly, the cost to UK Issuing Lender or any other member of the Lender Group of issuing, making, participating in, or maintaining any UK Letter of Credit or to reduce the amount receivable in respect thereof, then, and in any such case, Agent may, at any time within a reasonable period after the additional cost is incurred or the amount received is reduced, notify UK Borrowers in writing, and UK Borrowers shall pay within 30 days after demand therefor, such amounts as Agent may specify to be necessary to compensate UK Issuing Lender or any other member of the Lender Group for such additional cost or reduced receipt, together with interest on such amount from the date of such demand until payment in full thereof at the rate then applicable to UK Revolving Loans that are Base Rate Loans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UK Borrowers shall not be required to provide any compensation pursuant to this </w:t>
      </w:r>
      <w:r>
        <w:rPr>
          <w:rFonts w:ascii="Arial" w:cs="Arial" w:eastAsia="Arial" w:hAnsi="Arial"/>
          <w:sz w:val="17"/>
          <w:szCs w:val="17"/>
          <w:u w:val="single" w:color="auto"/>
          <w:color w:val="auto"/>
        </w:rPr>
        <w:t>Section 2.11C(l)</w:t>
      </w:r>
      <w:r>
        <w:rPr>
          <w:rFonts w:ascii="Arial" w:cs="Arial" w:eastAsia="Arial" w:hAnsi="Arial"/>
          <w:sz w:val="17"/>
          <w:szCs w:val="17"/>
          <w:color w:val="auto"/>
        </w:rPr>
        <w:t xml:space="preserve"> for any such amounts incurred more than 180 days prior to the date on which the demand for payment of such amounts is first made to UK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17"/>
          <w:szCs w:val="17"/>
          <w:u w:val="single" w:color="auto"/>
          <w:color w:val="auto"/>
        </w:rPr>
        <w:t>Section 2.11C(l)</w:t>
      </w:r>
      <w:r>
        <w:rPr>
          <w:rFonts w:ascii="Arial" w:cs="Arial" w:eastAsia="Arial" w:hAnsi="Arial"/>
          <w:sz w:val="17"/>
          <w:szCs w:val="17"/>
          <w:color w:val="auto"/>
        </w:rPr>
        <w:t>, as set forth in a certificate setting forth the calculation thereof in reasonable detail, shall, in the absence of manifest or demonstrable error, be final and conclusive and binding on all of the parties hereto.</w:t>
      </w:r>
    </w:p>
    <w:p>
      <w:pPr>
        <w:spacing w:after="0" w:line="75" w:lineRule="exact"/>
        <w:rPr>
          <w:sz w:val="20"/>
          <w:szCs w:val="20"/>
          <w:color w:val="auto"/>
        </w:rPr>
      </w:pPr>
    </w:p>
    <w:p>
      <w:pPr>
        <w:ind w:firstLine="921"/>
        <w:spacing w:after="0" w:line="297" w:lineRule="auto"/>
        <w:tabs>
          <w:tab w:leader="none" w:pos="121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Each standby UK Letter of Credit shall expire not later than the date that is 12 months after the date of the issuance of such UK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standby UK Letter of Credit may provide for the automatic extension thereof for any number of additional periods each of up to one year in duration;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with respect to any UK Letter of Credit which extends beyond the Maturity Date, Letter of Credit Collateralization shall be provided therefor on or before the date that is five Business Days prior to the Maturity Date. Each commercial UK Letter of Credit shall expire on the earlier of (i) 120 days after the date of the issuance of such commercial UK Letter of Credit and (ii) five Business Days prior to the Maturity Date.</w:t>
      </w:r>
    </w:p>
    <w:p>
      <w:pPr>
        <w:spacing w:after="0" w:line="50" w:lineRule="exact"/>
        <w:rPr>
          <w:rFonts w:ascii="Arial" w:cs="Arial" w:eastAsia="Arial" w:hAnsi="Arial"/>
          <w:sz w:val="16"/>
          <w:szCs w:val="16"/>
          <w:color w:val="auto"/>
        </w:rPr>
      </w:pPr>
    </w:p>
    <w:p>
      <w:pPr>
        <w:ind w:right="60" w:firstLine="921"/>
        <w:spacing w:after="0" w:line="290" w:lineRule="auto"/>
        <w:tabs>
          <w:tab w:leader="none" w:pos="116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If (i) any Event of Default shall occur and be continuing, or (ii) UK Availability shall at any time be less than zero, then on the Business Day following the date when the Administrative Borrower receives notice from Agent or the Required Lenders (or, if the maturity of the Obligations has been accelerated, Revolving Lenders with UK Letter of Credit Exposure representing greater than 50% of the total UK Letter Credit Exposure) demanding Letter of Credit Collateralization pursuant to this </w:t>
      </w:r>
      <w:r>
        <w:rPr>
          <w:rFonts w:ascii="Arial" w:cs="Arial" w:eastAsia="Arial" w:hAnsi="Arial"/>
          <w:sz w:val="16"/>
          <w:szCs w:val="16"/>
          <w:u w:val="single" w:color="auto"/>
          <w:color w:val="auto"/>
        </w:rPr>
        <w:t>Section 2.11C(n)</w:t>
      </w:r>
      <w:r>
        <w:rPr>
          <w:rFonts w:ascii="Arial" w:cs="Arial" w:eastAsia="Arial" w:hAnsi="Arial"/>
          <w:sz w:val="16"/>
          <w:szCs w:val="16"/>
          <w:color w:val="auto"/>
        </w:rPr>
        <w:t xml:space="preserve"> upon such demand, UK Borrowers shall provide Letter of Credit Collateralization with respect to the then existing UK Letter of Credit Usage. If UK Borrowers fail to provide Letter of Credit Collateralization as required by this </w:t>
      </w:r>
      <w:r>
        <w:rPr>
          <w:rFonts w:ascii="Arial" w:cs="Arial" w:eastAsia="Arial" w:hAnsi="Arial"/>
          <w:sz w:val="16"/>
          <w:szCs w:val="16"/>
          <w:u w:val="single" w:color="auto"/>
          <w:color w:val="auto"/>
        </w:rPr>
        <w:t>Section 2.11C(n)</w:t>
      </w:r>
      <w:r>
        <w:rPr>
          <w:rFonts w:ascii="Arial" w:cs="Arial" w:eastAsia="Arial" w:hAnsi="Arial"/>
          <w:sz w:val="16"/>
          <w:szCs w:val="16"/>
          <w:color w:val="auto"/>
        </w:rPr>
        <w:t xml:space="preserve">, the Revolving Lenders may (and, upon direction of Agent, shall) advance, as UK Revolving Loans the amount of the cash collateral required pursuant to the Letter of Credit Collateralization provision so that the then existing UK Letter of Credit Usage is cash collateralized in accordance with the Letter of Credit Collateralization provision (whether or not the Revolver Commitments have terminated, an Overadvance exists or the conditions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are satisfied).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274" w:right="239" w:bottom="1440" w:gutter="0" w:footer="0" w:header="0"/>
        </w:sectPr>
      </w:pPr>
    </w:p>
    <w:bookmarkStart w:id="153" w:name="page154"/>
    <w:bookmarkEnd w:id="153"/>
    <w:p>
      <w:pPr>
        <w:ind w:left="-60" w:right="280" w:firstLine="921"/>
        <w:spacing w:after="0" w:line="308" w:lineRule="auto"/>
        <w:tabs>
          <w:tab w:leader="none" w:pos="1108" w:val="left"/>
        </w:tabs>
        <w:numPr>
          <w:ilvl w:val="0"/>
          <w:numId w:val="1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expressly agreed by UK Issuing Lender and UK Borrowers when a UK Letter of Credit is issued, (i) the rules of the ISP shall apply to each standby UK Letter of Credit, and (ii) the rules of the UCP shall apply to each commercial UK Letter of Credit.</w:t>
      </w:r>
    </w:p>
    <w:p>
      <w:pPr>
        <w:spacing w:after="0" w:line="38" w:lineRule="exact"/>
        <w:rPr>
          <w:rFonts w:ascii="Arial" w:cs="Arial" w:eastAsia="Arial" w:hAnsi="Arial"/>
          <w:sz w:val="17"/>
          <w:szCs w:val="17"/>
          <w:color w:val="auto"/>
        </w:rPr>
      </w:pPr>
    </w:p>
    <w:p>
      <w:pPr>
        <w:ind w:left="-60" w:right="260" w:firstLine="921"/>
        <w:spacing w:after="0" w:line="277" w:lineRule="auto"/>
        <w:tabs>
          <w:tab w:leader="none" w:pos="110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UK Issuing Lender shall be deemed to have acted with due diligence and reasonable care if UK Issuing Lender’s conduct is in accordance with Standard Letter of Credit Practice or in accordance with this Agreement.</w:t>
      </w:r>
    </w:p>
    <w:p>
      <w:pPr>
        <w:spacing w:after="0" w:line="62" w:lineRule="exact"/>
        <w:rPr>
          <w:rFonts w:ascii="Arial" w:cs="Arial" w:eastAsia="Arial" w:hAnsi="Arial"/>
          <w:sz w:val="18"/>
          <w:szCs w:val="18"/>
          <w:color w:val="auto"/>
        </w:rPr>
      </w:pPr>
    </w:p>
    <w:p>
      <w:pPr>
        <w:ind w:left="-60" w:right="120" w:firstLine="921"/>
        <w:spacing w:after="0" w:line="312" w:lineRule="auto"/>
        <w:tabs>
          <w:tab w:leader="none" w:pos="110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In the event of a direct conflict between the provisions of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shall control and govern.</w:t>
      </w:r>
    </w:p>
    <w:p>
      <w:pPr>
        <w:spacing w:after="0" w:line="38" w:lineRule="exact"/>
        <w:rPr>
          <w:rFonts w:ascii="Arial" w:cs="Arial" w:eastAsia="Arial" w:hAnsi="Arial"/>
          <w:sz w:val="16"/>
          <w:szCs w:val="16"/>
          <w:color w:val="auto"/>
        </w:rPr>
      </w:pPr>
    </w:p>
    <w:p>
      <w:pPr>
        <w:ind w:left="-60" w:right="40" w:firstLine="921"/>
        <w:spacing w:after="0" w:line="277" w:lineRule="auto"/>
        <w:tabs>
          <w:tab w:leader="none" w:pos="107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shall survive the termination of this Agreement and the repayment in full of the Obligations with respect to any UK Letters of Credit that remain outstanding.</w:t>
      </w:r>
    </w:p>
    <w:p>
      <w:pPr>
        <w:spacing w:after="0" w:line="62" w:lineRule="exact"/>
        <w:rPr>
          <w:rFonts w:ascii="Arial" w:cs="Arial" w:eastAsia="Arial" w:hAnsi="Arial"/>
          <w:sz w:val="18"/>
          <w:szCs w:val="18"/>
          <w:color w:val="auto"/>
        </w:rPr>
      </w:pPr>
    </w:p>
    <w:p>
      <w:pPr>
        <w:ind w:left="-60" w:right="40" w:firstLine="921"/>
        <w:spacing w:after="0" w:line="290" w:lineRule="auto"/>
        <w:tabs>
          <w:tab w:leader="none" w:pos="108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At UK Borrowers’ costs and expense, UK Borrowers shall execute and deliver to UK Issuing Lender such additional certificates, instruments and/or documents and take such additional action as may be reasonably requested by UK Issuing Lender to enable UK Issuing Lender to issue any UK Letter of Credit pursuant to this Agreement and related Issuer Document, to protect, exercise and/or enforce UK Issuing Lenders’ rights and interests under this Agreement or to give effect to the terms and provisions of this Agreement or any Issuer Document. Each UK Borrower irrevocably appoints UK Issuing Lender as its attorney-in-fact and authorizes UK Issuing Lender, without notice to UK Borrowers, to execute and deliver ancillary documents and letters customary in the letter of credit business that may include but are not limited to advisements, indemnities, checks, bills of exchange and issuance documents. The power of attorney granted by the UK Borrowers is limited solely to such actions related to the issuance, confirmation or amendment of any UK Letter of Credit and to ancillary documents or letters customary in the letter of credit business. This appointment is coupled with an interest.</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Non-Base Rate Option</w:t>
      </w:r>
      <w:r>
        <w:rPr>
          <w:rFonts w:ascii="Arial" w:cs="Arial" w:eastAsia="Arial" w:hAnsi="Arial"/>
          <w:sz w:val="18"/>
          <w:szCs w:val="18"/>
          <w:color w:val="auto"/>
        </w:rPr>
        <w:t>.</w:t>
      </w:r>
    </w:p>
    <w:p>
      <w:pPr>
        <w:spacing w:after="0" w:line="117" w:lineRule="exact"/>
        <w:rPr>
          <w:sz w:val="20"/>
          <w:szCs w:val="20"/>
          <w:color w:val="auto"/>
        </w:rPr>
      </w:pPr>
    </w:p>
    <w:p>
      <w:pPr>
        <w:ind w:left="-60" w:firstLine="921"/>
        <w:spacing w:after="0" w:line="272" w:lineRule="auto"/>
        <w:tabs>
          <w:tab w:leader="none" w:pos="1097" w:val="left"/>
        </w:tabs>
        <w:numPr>
          <w:ilvl w:val="0"/>
          <w:numId w:val="164"/>
        </w:numPr>
        <w:rPr>
          <w:rFonts w:ascii="Arial" w:cs="Arial" w:eastAsia="Arial" w:hAnsi="Arial"/>
          <w:sz w:val="17"/>
          <w:szCs w:val="17"/>
          <w:color w:val="auto"/>
        </w:rPr>
      </w:pPr>
      <w:r>
        <w:rPr>
          <w:rFonts w:ascii="Arial" w:cs="Arial" w:eastAsia="Arial" w:hAnsi="Arial"/>
          <w:sz w:val="17"/>
          <w:szCs w:val="17"/>
          <w:b w:val="1"/>
          <w:bCs w:val="1"/>
          <w:color w:val="auto"/>
        </w:rPr>
        <w:t>Interest and Interest Payment Dates</w:t>
      </w:r>
      <w:r>
        <w:rPr>
          <w:rFonts w:ascii="Arial" w:cs="Arial" w:eastAsia="Arial" w:hAnsi="Arial"/>
          <w:sz w:val="17"/>
          <w:szCs w:val="17"/>
          <w:color w:val="auto"/>
        </w:rPr>
        <w:t>. In lieu of having interest charged at the rate based upon the Base Rate, Borrowers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option, subject to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below (the “</w:t>
      </w:r>
      <w:r>
        <w:rPr>
          <w:rFonts w:ascii="Arial" w:cs="Arial" w:eastAsia="Arial" w:hAnsi="Arial"/>
          <w:sz w:val="17"/>
          <w:szCs w:val="17"/>
          <w:u w:val="single" w:color="auto"/>
          <w:color w:val="auto"/>
        </w:rPr>
        <w:t>Non-Base Option</w:t>
      </w:r>
      <w:r>
        <w:rPr>
          <w:rFonts w:ascii="Arial" w:cs="Arial" w:eastAsia="Arial" w:hAnsi="Arial"/>
          <w:sz w:val="17"/>
          <w:szCs w:val="17"/>
          <w:color w:val="auto"/>
        </w:rPr>
        <w:t xml:space="preserve">”) to have interest on all or a portion of the Revolving Loans be charged (whether at the time when made (unless otherwise provided herein), upon conversion from a Base Rate Loan to a Non-Base Rate Loan, or upon continuation of a Non-Base Rate Loan as a Non-Base Rate Loan) at a rate of interest based upon the Non-Base Rate. Interest on Non-Base Rate Loans shall be payable on the earliest of (i) the last day of the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subject to the following clauses (ii) and (iii), in the case of any Interest Period greater than three months in duration, interest shall be payable at three month intervals after the commencement of the applicable Interest Period and on the last day of such Interest Period), (ii) the date on which all or any portion of the Obligations are accelerated pursuant to the terms hereof, or (iii) the date on which this Agreement is terminated pursuant to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20"/>
          </w:cols>
          <w:pgMar w:left="300" w:top="274" w:right="279" w:bottom="1440" w:gutter="0" w:footer="0" w:header="0"/>
        </w:sectPr>
      </w:pPr>
    </w:p>
    <w:bookmarkStart w:id="154" w:name="page155"/>
    <w:bookmarkEnd w:id="154"/>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hereof. On the last day of each applicable Interest Period, unless Borrowers have properly exercised the Non-Base Option with respect thereto, the interest rate applicable to such Non-Base Rate Loan automatically shall convert to the rate of interest then applicable to Base Rate Loans of the same type hereunder. At any time that an Event of Default has occurred and is continuing, at the written election of Agent or the Required Lenders, Borrowers no longer shall have the option to request that Revolving Loans bear interest at a rate based upon the Non-Base Rate.</w:t>
      </w:r>
    </w:p>
    <w:p>
      <w:pPr>
        <w:spacing w:after="0" w:line="59" w:lineRule="exact"/>
        <w:rPr>
          <w:sz w:val="20"/>
          <w:szCs w:val="20"/>
          <w:color w:val="auto"/>
        </w:rPr>
      </w:pPr>
    </w:p>
    <w:p>
      <w:pPr>
        <w:ind w:left="1180" w:hanging="259"/>
        <w:spacing w:after="0"/>
        <w:tabs>
          <w:tab w:leader="none" w:pos="11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Non-Base Rate Election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60" w:firstLine="1492"/>
        <w:spacing w:after="0" w:line="290" w:lineRule="auto"/>
        <w:tabs>
          <w:tab w:leader="none" w:pos="169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Borrowers may, at any time and from time to time, so long as Borrowers have not received a notice from Agent (which notice Agent may elect to give or not give in its discretion unless Agent is directed to give such notice by the Required Lenders, in which case, it shall give the notice to Borrowers), during the continuance of an Event of Default, to terminate the right of Borrowers to exercise the Non-Base Option during the continuance of such Event of Default, elect to exercise the Non-Base Option by notifying Agent prior to 2:00 p.m. (or 2:00 p.m. London time in the case of UK Revolving Loans) at least three Business Days prior to the commencement of the proposed Interest Period (the “</w:t>
      </w:r>
      <w:r>
        <w:rPr>
          <w:rFonts w:ascii="Arial" w:cs="Arial" w:eastAsia="Arial" w:hAnsi="Arial"/>
          <w:sz w:val="16"/>
          <w:szCs w:val="16"/>
          <w:u w:val="single" w:color="auto"/>
          <w:color w:val="auto"/>
        </w:rPr>
        <w:t>Non-Base Rate Deadline</w:t>
      </w:r>
      <w:r>
        <w:rPr>
          <w:rFonts w:ascii="Arial" w:cs="Arial" w:eastAsia="Arial" w:hAnsi="Arial"/>
          <w:sz w:val="16"/>
          <w:szCs w:val="16"/>
          <w:color w:val="auto"/>
        </w:rPr>
        <w:t>”). The election of the Non-Base Option by US Borrowers, UK Borrowers or Canadian Borrowers, as applicable, for a permitted portion of the applicable Revolving Loans and an Interest Period pursuant to this Section shall be made by delivery to Agent of a Non-Base Notice received by Agent before the Non-Base Rate Deadline. Promptly upon its receipt of each such Non-Base Notice, Agent shall provide a copy thereof to each of the affected Lenders.</w:t>
      </w:r>
    </w:p>
    <w:p>
      <w:pPr>
        <w:spacing w:after="0" w:line="58" w:lineRule="exact"/>
        <w:rPr>
          <w:rFonts w:ascii="Arial" w:cs="Arial" w:eastAsia="Arial" w:hAnsi="Arial"/>
          <w:sz w:val="16"/>
          <w:szCs w:val="16"/>
          <w:color w:val="auto"/>
        </w:rPr>
      </w:pPr>
    </w:p>
    <w:p>
      <w:pPr>
        <w:ind w:firstLine="1492"/>
        <w:spacing w:after="0" w:line="268" w:lineRule="auto"/>
        <w:tabs>
          <w:tab w:leader="none" w:pos="1748" w:val="left"/>
        </w:tabs>
        <w:numPr>
          <w:ilvl w:val="1"/>
          <w:numId w:val="165"/>
        </w:numPr>
        <w:rPr>
          <w:rFonts w:ascii="Arial" w:cs="Arial" w:eastAsia="Arial" w:hAnsi="Arial"/>
          <w:sz w:val="17"/>
          <w:szCs w:val="17"/>
          <w:color w:val="auto"/>
        </w:rPr>
      </w:pPr>
      <w:r>
        <w:rPr>
          <w:rFonts w:ascii="Arial" w:cs="Arial" w:eastAsia="Arial" w:hAnsi="Arial"/>
          <w:sz w:val="17"/>
          <w:szCs w:val="17"/>
          <w:color w:val="auto"/>
        </w:rPr>
        <w:t>Each Non-Base Notice shall be irrevocable and binding on Borrowers. In connection with each Non-Base Rate Loan, US Borrowers, if such Non-Base Rate Loan is a US Revolving Loan, UK Borrowers, if such Non-Base Rate Loan is a UK Revolving Loan, or Canadian Borrowers, if such Non-Base Rate Loan is a Canadian Revolving Loan, shall indemnify, defend, and hold Agent and the Lenders harmless against any loss, cost, or expense actually incurred by Agent or any Lender as a result of (A) the payment or required assignment of any principal of any Non-Base Rate Loan other than on the last day of an Interest Period applicable thereto (including as a result of an Event of Default), (B) the conversion of any Non-Base Rate Loan other than on the last day of the Interest Period applicable thereto, or (C) the failure to borrow, convert, continue or prepay any Non-Base Rate Loan on the date specified in any Non-Base Notice delivered pursuant hereto (such losses, costs, or expenses, “</w:t>
      </w:r>
      <w:r>
        <w:rPr>
          <w:rFonts w:ascii="Arial" w:cs="Arial" w:eastAsia="Arial" w:hAnsi="Arial"/>
          <w:sz w:val="17"/>
          <w:szCs w:val="17"/>
          <w:u w:val="single" w:color="auto"/>
          <w:color w:val="auto"/>
        </w:rPr>
        <w:t>Funding Losses</w:t>
      </w:r>
      <w:r>
        <w:rPr>
          <w:rFonts w:ascii="Arial" w:cs="Arial" w:eastAsia="Arial" w:hAnsi="Arial"/>
          <w:sz w:val="17"/>
          <w:szCs w:val="17"/>
          <w:color w:val="auto"/>
        </w:rPr>
        <w:t xml:space="preserve">”). A certificate of Agent or a Lender delivered within 180 days of the occurrence of any event giving rise to such claims of compensation under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to Borrowers setting forth in reasonable detail any amount or amounts that Agent or such Lender is entitled to receive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be conclusive absent manifest error. US Borrowers, if such Non-Base Rate Loan is a US Revolving Loan, UK Borrowers, if such Non-Base Rate Loan is a UK Revolving Loan, or Canadian Borrowers, if such Non-Base Rate Loan is a Canadian Revolving Loan, shall pay such amount to Agent or the Lender, as applicable, within 30 days of the date of its receipt of such certificate. If a payment of a Non-Base Rate Loan on a day other than the last day of the applicable Interest Period would result in a Funding Loss, Agent may, in its sole discretion at the request of Borrowers, hold the amount of such payment as cash collateral in support of the Obligations until the last day of such Interest Period and apply such amounts to the payment of the applicable Non-Base Rate Loan on such last day, it being agreed that Agent has no obligation to so defer the application of payments to any Non-Base Rate Loan and that, in the event that Agent does not defer such application, Borrowers shall be obligated to pay any resulting Funding Losses.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274" w:right="239" w:bottom="1440" w:gutter="0" w:footer="0" w:header="0"/>
        </w:sectPr>
      </w:pPr>
    </w:p>
    <w:bookmarkStart w:id="155" w:name="page156"/>
    <w:bookmarkEnd w:id="155"/>
    <w:p>
      <w:pPr>
        <w:ind w:right="260" w:firstLine="1492"/>
        <w:spacing w:after="0" w:line="308" w:lineRule="auto"/>
        <w:tabs>
          <w:tab w:leader="none" w:pos="1798" w:val="left"/>
        </w:tabs>
        <w:numPr>
          <w:ilvl w:val="1"/>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Agent, in its sole discretion, agrees otherwise, Borrowers shall have not more than eight Non-Base Rate Loans in effect at any given time. Borrowers may only exercise the Non-Base Option for proposed Non-Base Rate Loans of at least $3,000,000.</w:t>
      </w:r>
    </w:p>
    <w:p>
      <w:pPr>
        <w:spacing w:after="0" w:line="34" w:lineRule="exact"/>
        <w:rPr>
          <w:rFonts w:ascii="Arial" w:cs="Arial" w:eastAsia="Arial" w:hAnsi="Arial"/>
          <w:sz w:val="17"/>
          <w:szCs w:val="17"/>
          <w:color w:val="auto"/>
        </w:rPr>
      </w:pPr>
    </w:p>
    <w:p>
      <w:pPr>
        <w:ind w:left="1160" w:hanging="239"/>
        <w:spacing w:after="0"/>
        <w:tabs>
          <w:tab w:leader="none" w:pos="1160" w:val="left"/>
        </w:tabs>
        <w:numPr>
          <w:ilvl w:val="0"/>
          <w:numId w:val="167"/>
        </w:numPr>
        <w:rPr>
          <w:rFonts w:ascii="Arial" w:cs="Arial" w:eastAsia="Arial" w:hAnsi="Arial"/>
          <w:sz w:val="17"/>
          <w:szCs w:val="17"/>
          <w:color w:val="auto"/>
        </w:rPr>
      </w:pPr>
      <w:r>
        <w:rPr>
          <w:rFonts w:ascii="Arial" w:cs="Arial" w:eastAsia="Arial" w:hAnsi="Arial"/>
          <w:sz w:val="17"/>
          <w:szCs w:val="17"/>
          <w:b w:val="1"/>
          <w:bCs w:val="1"/>
          <w:color w:val="auto"/>
        </w:rPr>
        <w:t>Conversion; Prepayment</w:t>
      </w:r>
      <w:r>
        <w:rPr>
          <w:rFonts w:ascii="Arial" w:cs="Arial" w:eastAsia="Arial" w:hAnsi="Arial"/>
          <w:sz w:val="17"/>
          <w:szCs w:val="17"/>
          <w:color w:val="auto"/>
        </w:rPr>
        <w:t>. Borrowers may convert Non-Base Rate Loans to Base Rate Loans in the Applicable Currency or prepay</w:t>
      </w:r>
    </w:p>
    <w:p>
      <w:pPr>
        <w:spacing w:after="0" w:line="3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 xml:space="preserve">Non-Base Rate Loans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Non-Base Rate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or for any other reason, including early termination of the term of this Agreement or acceleration of all or any portion of the Obligations pursuant to the terms hereof, each Borrower shall indemnify, defend, and hold Agent and the Lenders and their Participants harmless against any and all Funding Losses in accordance with </w:t>
      </w:r>
      <w:r>
        <w:rPr>
          <w:rFonts w:ascii="Arial" w:cs="Arial" w:eastAsia="Arial" w:hAnsi="Arial"/>
          <w:sz w:val="18"/>
          <w:szCs w:val="18"/>
          <w:u w:val="single" w:color="auto"/>
          <w:color w:val="auto"/>
        </w:rPr>
        <w:t>Section 2.12(b)(ii)</w:t>
      </w:r>
      <w:r>
        <w:rPr>
          <w:rFonts w:ascii="Arial" w:cs="Arial" w:eastAsia="Arial" w:hAnsi="Arial"/>
          <w:sz w:val="18"/>
          <w:szCs w:val="18"/>
          <w:color w:val="auto"/>
        </w:rPr>
        <w:t>.</w:t>
      </w:r>
    </w:p>
    <w:p>
      <w:pPr>
        <w:spacing w:after="0" w:line="79" w:lineRule="exact"/>
        <w:rPr>
          <w:sz w:val="20"/>
          <w:szCs w:val="20"/>
          <w:color w:val="auto"/>
        </w:rPr>
      </w:pPr>
    </w:p>
    <w:p>
      <w:pPr>
        <w:ind w:left="1180" w:hanging="259"/>
        <w:spacing w:after="0"/>
        <w:tabs>
          <w:tab w:leader="none" w:pos="1180"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t>Special Provisions Applicable to Non-Base Rate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40" w:firstLine="1492"/>
        <w:spacing w:after="0" w:line="284" w:lineRule="auto"/>
        <w:tabs>
          <w:tab w:leader="none" w:pos="1698" w:val="left"/>
        </w:tabs>
        <w:numPr>
          <w:ilvl w:val="2"/>
          <w:numId w:val="168"/>
        </w:numPr>
        <w:rPr>
          <w:rFonts w:ascii="Arial" w:cs="Arial" w:eastAsia="Arial" w:hAnsi="Arial"/>
          <w:sz w:val="16"/>
          <w:szCs w:val="16"/>
          <w:color w:val="auto"/>
        </w:rPr>
      </w:pPr>
      <w:r>
        <w:rPr>
          <w:rFonts w:ascii="Arial" w:cs="Arial" w:eastAsia="Arial" w:hAnsi="Arial"/>
          <w:sz w:val="16"/>
          <w:szCs w:val="16"/>
          <w:color w:val="auto"/>
        </w:rPr>
        <w:t xml:space="preserve">The Non-Base Rate may be adjusted by Agent by written notice to the Borrowers with respect to any Lender on a prospective basis to take into account any additional or increased costs to such Lender of maintaining or obtaining any eurodollar deposits, Sterling deposits, Canadian Dollar deposits or increased costs (other than Taxes which shall be governed by </w:t>
      </w:r>
      <w:r>
        <w:rPr>
          <w:rFonts w:ascii="Arial" w:cs="Arial" w:eastAsia="Arial" w:hAnsi="Arial"/>
          <w:sz w:val="16"/>
          <w:szCs w:val="16"/>
          <w:u w:val="single" w:color="auto"/>
          <w:color w:val="auto"/>
        </w:rPr>
        <w:t>Section 16</w:t>
      </w:r>
      <w:r>
        <w:rPr>
          <w:rFonts w:ascii="Arial" w:cs="Arial" w:eastAsia="Arial" w:hAnsi="Arial"/>
          <w:sz w:val="16"/>
          <w:szCs w:val="16"/>
          <w:color w:val="auto"/>
        </w:rPr>
        <w:t>), in each case, due to changes in applicable law occurring subsequent to the commencement of the then applicable Interest Period, including any Changes in Law after the date hereof and changes in the reserve requirements imposed by the Board of Governors, which additional or increased costs would increase the cost of funding or maintaining loans bearing interest at the Non-Base Rate.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w:t>
      </w:r>
    </w:p>
    <w:p>
      <w:pPr>
        <w:spacing w:after="0" w:line="2" w:lineRule="exact"/>
        <w:rPr>
          <w:rFonts w:ascii="Arial" w:cs="Arial" w:eastAsia="Arial" w:hAnsi="Arial"/>
          <w:sz w:val="16"/>
          <w:szCs w:val="16"/>
          <w:color w:val="auto"/>
        </w:rPr>
      </w:pPr>
    </w:p>
    <w:p>
      <w:pPr>
        <w:jc w:val="both"/>
        <w:ind w:right="140" w:firstLine="8"/>
        <w:spacing w:after="0" w:line="255" w:lineRule="auto"/>
        <w:tabs>
          <w:tab w:leader="none" w:pos="2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require such Lender to furnish to Borrowers a statement setting forth in reasonable detail the basis for adjusting such Non-Base Rate and the method for determining the amount of such adjustment, or (B) repay the Non-Base Rate Loans of such Lender with respect to which such adjustment is made (together with any amounts due under </w:t>
      </w:r>
      <w:r>
        <w:rPr>
          <w:rFonts w:ascii="Arial" w:cs="Arial" w:eastAsia="Arial" w:hAnsi="Arial"/>
          <w:sz w:val="18"/>
          <w:szCs w:val="18"/>
          <w:u w:val="single" w:color="auto"/>
          <w:color w:val="auto"/>
        </w:rPr>
        <w:t>Section 2.12(b)(ii)</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firstLine="1492"/>
        <w:spacing w:after="0" w:line="291" w:lineRule="auto"/>
        <w:tabs>
          <w:tab w:leader="none" w:pos="1748" w:val="left"/>
        </w:tabs>
        <w:numPr>
          <w:ilvl w:val="2"/>
          <w:numId w:val="169"/>
        </w:numPr>
        <w:rPr>
          <w:rFonts w:ascii="Arial" w:cs="Arial" w:eastAsia="Arial" w:hAnsi="Arial"/>
          <w:sz w:val="16"/>
          <w:szCs w:val="16"/>
          <w:color w:val="auto"/>
        </w:rPr>
      </w:pPr>
      <w:r>
        <w:rPr>
          <w:rFonts w:ascii="Arial" w:cs="Arial" w:eastAsia="Arial" w:hAnsi="Arial"/>
          <w:sz w:val="16"/>
          <w:szCs w:val="16"/>
          <w:color w:val="auto"/>
        </w:rPr>
        <w:t>In the event that any change in market conditions or any Change in Law shall at any time after the date hereof, in the reasonable opinion of any Lender, make it unlawful or impractical for such Lender to fund or maintain Non-Base Rate Loans or to continue such funding or maintaining, or to determine or charge interest rates at the Non-Base Rate, such Lender shall give written notice of such changed circumstances to Agent and Borrowers and Agent promptly shall transmit the notice to each other Lender and (y) in the case of any Non-Base Rate Loans of such Lender that are outstanding, the date specified in such Lender’s notice shall be deemed to be the last day of the Interest Period of such Non-Base Rate Loans, and interest upon the Non-Base Rate Loans of such Lender thereafter shall accrue interest at the rate then applicable to Base Rate Loans, and (z) Borrowers shall not be entitled to elect the Non-Base Option until such Lender determines that it would no longer be unlawful or impractical to do so.</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274" w:right="279" w:bottom="1440" w:gutter="0" w:footer="0" w:header="0"/>
        </w:sectPr>
      </w:pPr>
    </w:p>
    <w:bookmarkStart w:id="156" w:name="page157"/>
    <w:bookmarkEnd w:id="156"/>
    <w:p>
      <w:pPr>
        <w:ind w:right="160" w:firstLine="921"/>
        <w:spacing w:after="0" w:line="266" w:lineRule="auto"/>
        <w:tabs>
          <w:tab w:leader="none" w:pos="1157"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Requirement of Matched Funding</w:t>
      </w:r>
      <w:r>
        <w:rPr>
          <w:rFonts w:ascii="Arial" w:cs="Arial" w:eastAsia="Arial" w:hAnsi="Arial"/>
          <w:sz w:val="18"/>
          <w:szCs w:val="18"/>
          <w:color w:val="auto"/>
        </w:rPr>
        <w:t>. Anything to the contrary contained herein notwithstanding, neither Agent, nor any Lender,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Participants, is required actually to acquire eurodollar deposits, Sterling deposits or Canadian Dollar deposits to fund or otherwise match fund any Obligation as to which interest accrues at the Non-Base Rate.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u w:val="single" w:color="auto"/>
          <w:color w:val="auto"/>
        </w:rPr>
        <w:t>Capital Requirements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85" w:lineRule="auto"/>
        <w:tabs>
          <w:tab w:leader="none" w:pos="115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If, after the date hereof, any Issuing Lender or any Lender determines that (i) any Change in Law regarding capital, liquidity or reserve requirements for banks or bank holding companies, or (ii) compliance by such Issuing Lender or such Lender, or their respective parent bank holding companies, with any guideline, request or directive of any Governmental Authority regarding capital adequacy or liquidity requirements (whether or not having the force of law), has the effect of reducing the return on such Issuing Lender’s, such Lender’s, or such holding companies’ capital or liquidity as a consequence of such Issuing Lender’s or such Lender’s commitments, Loans, participations or other obligations hereunder to a level below that which such Issuing Lender, such Lender, or such holding companies could have achieved but for such Change in Law or compliance (taking into consideration such Issuing Lender’s, such Lender’s, or such holding companies’ then existing policies with respect to capital adequacy or liquidity requirements and assuming the full utilization of such entity’s capital) by any amount deemed by such Issuing Lender or such Lender to be material, then such Issuing Lender or such Lender may notify Borrowers and Agent thereof. Following receipt of such notice, Borrowers agree to pay such Issuing Lender or such Lender on demand the amount of such reduction of return of capital as and when such reduction is determined, payable within 30 days after presentation by such Issuing Lender or such Lender of a statement in the amount and setting forth in reasonable detail such Issuing Lender’s or such Lender’s calculation thereof and the assumptions upon which such calculation was based (which statement shall be deemed true and correct absent manifest error). In determining such amount, such Issuing Lender or such Lender may use any reasonable averaging and attribution methods. Failure or delay on the part of any Issuing Lender or any Lender to demand compensation pursuant to this Section shall not constitute a waiver of such Issuing Lender’s or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Borrowers shall not be required to compensate an Issuing Lender or a Lender pursuant to this Section for any reductions in return incurred more than 180 days prior to the date that such Issuing Lender or such Lender notifies Borrowers of such Change in Law giving rise to such reductions and of such Issuing Lender’s or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such claim arises by reason of the Change in Law that is retroactive, then the 180-day period referred to above shall be extended to include the period of retroactive effect thereof.</w:t>
      </w:r>
    </w:p>
    <w:p>
      <w:pPr>
        <w:spacing w:after="0" w:line="64" w:lineRule="exact"/>
        <w:rPr>
          <w:rFonts w:ascii="Arial" w:cs="Arial" w:eastAsia="Arial" w:hAnsi="Arial"/>
          <w:sz w:val="16"/>
          <w:szCs w:val="16"/>
          <w:color w:val="auto"/>
        </w:rPr>
      </w:pPr>
    </w:p>
    <w:p>
      <w:pPr>
        <w:ind w:left="1180" w:hanging="259"/>
        <w:spacing w:after="0"/>
        <w:tabs>
          <w:tab w:leader="none" w:pos="11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If any Issuing Lender or any Lender requests additional or increased costs referred to in </w:t>
      </w:r>
      <w:r>
        <w:rPr>
          <w:rFonts w:ascii="Arial" w:cs="Arial" w:eastAsia="Arial" w:hAnsi="Arial"/>
          <w:sz w:val="16"/>
          <w:szCs w:val="16"/>
          <w:u w:val="single" w:color="auto"/>
          <w:color w:val="auto"/>
        </w:rPr>
        <w:t>Section 2.11A(l)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2.11B(l)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2.12(d)</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72"/>
        </w:numPr>
        <w:rPr>
          <w:rFonts w:ascii="Arial" w:cs="Arial" w:eastAsia="Arial" w:hAnsi="Arial"/>
          <w:sz w:val="17"/>
          <w:szCs w:val="17"/>
          <w:u w:val="single" w:color="auto"/>
          <w:color w:val="auto"/>
        </w:rPr>
      </w:pPr>
      <w:r>
        <w:rPr>
          <w:rFonts w:ascii="Arial" w:cs="Arial" w:eastAsia="Arial" w:hAnsi="Arial"/>
          <w:sz w:val="17"/>
          <w:szCs w:val="17"/>
          <w:color w:val="auto"/>
        </w:rPr>
        <w:t xml:space="preserve">or amounts under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or sends a notice under </w:t>
      </w:r>
      <w:r>
        <w:rPr>
          <w:rFonts w:ascii="Arial" w:cs="Arial" w:eastAsia="Arial" w:hAnsi="Arial"/>
          <w:sz w:val="17"/>
          <w:szCs w:val="17"/>
          <w:u w:val="single" w:color="auto"/>
          <w:color w:val="auto"/>
        </w:rPr>
        <w:t>Section 2.12(d)(ii)</w:t>
      </w:r>
      <w:r>
        <w:rPr>
          <w:rFonts w:ascii="Arial" w:cs="Arial" w:eastAsia="Arial" w:hAnsi="Arial"/>
          <w:sz w:val="17"/>
          <w:szCs w:val="17"/>
          <w:color w:val="auto"/>
        </w:rPr>
        <w:t xml:space="preserve"> relative to changed circumstances (such Issuing Lender or Lender, an</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then, at the request of Administrative Borrower, such Affected Lender shall use reasonable efforts to promptly designate a different one of its lending offices or to assign its rights and obligations hereunder to another of its offices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270" w:right="239" w:bottom="1440" w:gutter="0" w:footer="0" w:header="0"/>
        </w:sectPr>
      </w:pPr>
    </w:p>
    <w:bookmarkStart w:id="157" w:name="page158"/>
    <w:bookmarkEnd w:id="15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branches, if (i) in the reasonable judgment of such Affected Lender, such designation or assignment would eliminate or reduce amounts payable pursuant to </w:t>
      </w:r>
      <w:r>
        <w:rPr>
          <w:rFonts w:ascii="Arial" w:cs="Arial" w:eastAsia="Arial" w:hAnsi="Arial"/>
          <w:sz w:val="16"/>
          <w:szCs w:val="16"/>
          <w:u w:val="single" w:color="auto"/>
          <w:color w:val="auto"/>
        </w:rPr>
        <w:t>Section 2.11A(xii)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as applicable, or would eliminate the illegality or impracticality of funding or maintaining Non-Base Rate Loans,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w:t>
      </w:r>
      <w:r>
        <w:rPr>
          <w:rFonts w:ascii="Arial" w:cs="Arial" w:eastAsia="Arial" w:hAnsi="Arial"/>
          <w:sz w:val="16"/>
          <w:szCs w:val="16"/>
          <w:u w:val="single" w:color="auto"/>
          <w:color w:val="auto"/>
        </w:rPr>
        <w:t>Section 2.11A(xii)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as applicable, or to enable Borrowers to obtain Non-Base Rate Loans, then Borrowers (without prejudice to any amounts then due to such Affected Lender under</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Section 2.11A(xii)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as applicable) may, unless prior to the effective date of any such assignment the Affected Lender withdraws its request for such additional amounts under </w:t>
      </w:r>
      <w:r>
        <w:rPr>
          <w:rFonts w:ascii="Arial" w:cs="Arial" w:eastAsia="Arial" w:hAnsi="Arial"/>
          <w:sz w:val="16"/>
          <w:szCs w:val="16"/>
          <w:u w:val="single" w:color="auto"/>
          <w:color w:val="auto"/>
        </w:rPr>
        <w:t>Section 2.11(xii)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as applicable, or indicates that it is no longer unlawful or impractical to fund or maintain Non-Base Rate Loans, may designate a different Issuing Lender or substitute a Lender or prospective Lender, in each case, reasonably acceptable to Agent to purchase the Obligations owed to such Affected Lender (and its Affiliates) and such Affected Lender’s (and its Affiliates’) commitments hereunder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and if such Replacement Lender agrees to such purchase, such Affected Lender (and its Affiliates) shall assign to the Replacement Lender its Obligations and commitments, and upon such purchase by the Replacement Lender, which such Replacement Lender shall be deemed to be an “Issuing Lender” or a “Lender” (as the case may be) for purposes of this Agreement and such Affected Lender shall cease to be an “Issuing Lender” or a “Lender” (as the case may be) for purposes of this Agreement.</w:t>
      </w:r>
    </w:p>
    <w:p>
      <w:pPr>
        <w:spacing w:after="0" w:line="62" w:lineRule="exact"/>
        <w:rPr>
          <w:sz w:val="20"/>
          <w:szCs w:val="20"/>
          <w:color w:val="auto"/>
        </w:rPr>
      </w:pPr>
    </w:p>
    <w:p>
      <w:pPr>
        <w:ind w:right="60" w:firstLine="921"/>
        <w:spacing w:after="0" w:line="293" w:lineRule="auto"/>
        <w:tabs>
          <w:tab w:leader="none" w:pos="115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the protection of </w:t>
      </w:r>
      <w:r>
        <w:rPr>
          <w:rFonts w:ascii="Arial" w:cs="Arial" w:eastAsia="Arial" w:hAnsi="Arial"/>
          <w:sz w:val="16"/>
          <w:szCs w:val="16"/>
          <w:u w:val="single" w:color="auto"/>
          <w:color w:val="auto"/>
        </w:rPr>
        <w:t>Sections 2.11A(xii)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shall be available to each Issuing Lender and each Lender (as applicable) regardless of any possible contention of the invalidity or inapplicability of the law, rule, regulation, judicial ruling, decree, judgment, guideline, treaty or other change or condition which shall have occurred or been imposed, so long as it shall be customary for issuing lenders or lenders affected thereby to comply therewith. Notwithstanding any other provision herein, no Issuing Lender nor any Lender shall demand compensation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if it shall not at the time be the general policy or practice of such Issuing Lender or such Lender (as the case may be) to demand such compensation in similar circumstances under comparable provisions of other credit agreements, if any.</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u w:val="single" w:color="auto"/>
          <w:color w:val="auto"/>
        </w:rPr>
        <w:t>Incremental Facilities</w:t>
      </w:r>
      <w:r>
        <w:rPr>
          <w:rFonts w:ascii="Arial" w:cs="Arial" w:eastAsia="Arial" w:hAnsi="Arial"/>
          <w:sz w:val="18"/>
          <w:szCs w:val="18"/>
          <w:color w:val="auto"/>
        </w:rPr>
        <w:t>.</w:t>
      </w:r>
    </w:p>
    <w:p>
      <w:pPr>
        <w:spacing w:after="0" w:line="121" w:lineRule="exact"/>
        <w:rPr>
          <w:sz w:val="20"/>
          <w:szCs w:val="20"/>
          <w:color w:val="auto"/>
        </w:rPr>
      </w:pPr>
    </w:p>
    <w:p>
      <w:pPr>
        <w:ind w:right="20" w:firstLine="921"/>
        <w:spacing w:after="0" w:line="259" w:lineRule="auto"/>
        <w:tabs>
          <w:tab w:leader="none" w:pos="11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any time from and after the Closing Date, at the option of US Borrowers (but subject to the conditions set forth in clause (b) below), the US Revolver Commitments and the Maximum Revolver Amount (but not the Canadian Maximum Revolver Amount or the UK Maximum Revolver Amount) may be increased by an amount in the aggregate for all such increases of the US Revolver Commitments and the Maximum Revolver Amount not to exceed the Available Increase Amount (each such increase, an “</w:t>
      </w:r>
      <w:r>
        <w:rPr>
          <w:rFonts w:ascii="Arial" w:cs="Arial" w:eastAsia="Arial" w:hAnsi="Arial"/>
          <w:sz w:val="18"/>
          <w:szCs w:val="18"/>
          <w:u w:val="single" w:color="auto"/>
          <w:color w:val="auto"/>
        </w:rPr>
        <w:t>Increase</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274" w:right="239" w:bottom="1440" w:gutter="0" w:footer="0" w:header="0"/>
        </w:sectPr>
      </w:pPr>
    </w:p>
    <w:bookmarkStart w:id="158" w:name="page159"/>
    <w:bookmarkEnd w:id="158"/>
    <w:p>
      <w:pPr>
        <w:ind w:right="60"/>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7"/>
          <w:szCs w:val="17"/>
          <w:color w:val="auto"/>
        </w:rPr>
        <w:t xml:space="preserve">, that in no event shall the US Revolver Commitments and the Maximum Revolver Amount be increased by an amount in excess of the Available Increase Amount. Agent shall invite each Lender to increase its US Revolver Commitments (it being understood that no Lender shall be obligated to increase its US Revolver Commitments) in connection with a proposed Increase at the interest margin proposed by US Borrowers, and if sufficient Lenders do not agree to increase their US Revolver Commitments in connection with such proposed Increase, then Agent or Borrowers may invite any prospective lender who is reasonably satisfactory to Agent and Borrowers to become a Lender in connection with a proposed Increase but only if such prospective Lender (and its Foreign Lender Affiliates) agree to purchase a proportionate interest in the Canadian Revolver Commitment and the UK Revolver Commitment). Any Increase shall be in an amount of at least $5,000,000 and integral multiples of $1,000,000 in excess thereof. In no event may the Revolver Commitments and the Maximum Revolver Amount be increased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on more than 2 occasions in the aggregate for all such Increases. Additionally, for the avoidance of doubt, it is understood and agreed that in no event shall the aggregate amount of the Increases to the Revolver Commitments exceed $250,000,000.</w:t>
      </w:r>
    </w:p>
    <w:p>
      <w:pPr>
        <w:spacing w:after="0" w:line="70" w:lineRule="exact"/>
        <w:rPr>
          <w:sz w:val="20"/>
          <w:szCs w:val="20"/>
          <w:color w:val="auto"/>
        </w:rPr>
      </w:pPr>
    </w:p>
    <w:p>
      <w:pPr>
        <w:ind w:firstLine="921"/>
        <w:spacing w:after="0" w:line="277"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of the following shall be conditions precedent to any Increase of the US Revolver Commitments and the Maximum Revolver Amount in connection therewith:</w:t>
      </w:r>
    </w:p>
    <w:p>
      <w:pPr>
        <w:spacing w:after="0" w:line="62" w:lineRule="exact"/>
        <w:rPr>
          <w:rFonts w:ascii="Arial" w:cs="Arial" w:eastAsia="Arial" w:hAnsi="Arial"/>
          <w:sz w:val="18"/>
          <w:szCs w:val="18"/>
          <w:color w:val="auto"/>
        </w:rPr>
      </w:pPr>
    </w:p>
    <w:p>
      <w:pPr>
        <w:ind w:right="20" w:firstLine="1492"/>
        <w:spacing w:after="0" w:line="257" w:lineRule="auto"/>
        <w:tabs>
          <w:tab w:leader="none" w:pos="169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Agent or Borrowers have obtained the commitment of one or more Lenders (or other prospective lenders) reasonably satisfactory to Agent and Borrowers to provide the applicable Increase and purchase a proportionate interest in the Canadian Revolver Commitment and the UK Revolver Commitment and any such increasing Lenders (or prospective lenders), Borrowers, and Agent have signed a joinder agreement to this Agreement (an “</w:t>
      </w:r>
      <w:r>
        <w:rPr>
          <w:rFonts w:ascii="Arial" w:cs="Arial" w:eastAsia="Arial" w:hAnsi="Arial"/>
          <w:sz w:val="18"/>
          <w:szCs w:val="18"/>
          <w:u w:val="single" w:color="auto"/>
          <w:color w:val="auto"/>
        </w:rPr>
        <w:t>Increase Joinder</w:t>
      </w:r>
      <w:r>
        <w:rPr>
          <w:rFonts w:ascii="Arial" w:cs="Arial" w:eastAsia="Arial" w:hAnsi="Arial"/>
          <w:sz w:val="18"/>
          <w:szCs w:val="18"/>
          <w:color w:val="auto"/>
        </w:rPr>
        <w:t>”), in form and substance reasonably satisfactory to Agent, to which such increasing Lenders (or prospective lenders), Borrowers, and Agent are party,</w:t>
      </w:r>
    </w:p>
    <w:p>
      <w:pPr>
        <w:spacing w:after="0" w:line="80" w:lineRule="exact"/>
        <w:rPr>
          <w:rFonts w:ascii="Arial" w:cs="Arial" w:eastAsia="Arial" w:hAnsi="Arial"/>
          <w:sz w:val="18"/>
          <w:szCs w:val="18"/>
          <w:color w:val="auto"/>
        </w:rPr>
      </w:pPr>
    </w:p>
    <w:p>
      <w:pPr>
        <w:ind w:left="1760" w:hanging="268"/>
        <w:spacing w:after="0"/>
        <w:tabs>
          <w:tab w:leader="none" w:pos="17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each of the conditions precedent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are satisfied,</w:t>
      </w:r>
    </w:p>
    <w:p>
      <w:pPr>
        <w:spacing w:after="0" w:line="117" w:lineRule="exact"/>
        <w:rPr>
          <w:rFonts w:ascii="Arial" w:cs="Arial" w:eastAsia="Arial" w:hAnsi="Arial"/>
          <w:sz w:val="18"/>
          <w:szCs w:val="18"/>
          <w:color w:val="auto"/>
        </w:rPr>
      </w:pPr>
    </w:p>
    <w:p>
      <w:pPr>
        <w:ind w:right="40" w:firstLine="1492"/>
        <w:spacing w:after="0" w:line="259" w:lineRule="auto"/>
        <w:tabs>
          <w:tab w:leader="none" w:pos="179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connection with any Increase, if any Loan Party or any of its Subsidiaries owns or will acquire any Margin Stock, Borrowers shall deliver to Agent an updated Form U-1 (with sufficient additional originals thereof for each Lender), duly executed and delivered by the Borrowers, together with such other documentation as Agent shall reasonably request, in order to enable Agent and the Lenders to comply with any of the requirements under Regulations T, U or X of the Federal Reserve Board,</w:t>
      </w:r>
    </w:p>
    <w:p>
      <w:pPr>
        <w:spacing w:after="0" w:line="78" w:lineRule="exact"/>
        <w:rPr>
          <w:rFonts w:ascii="Arial" w:cs="Arial" w:eastAsia="Arial" w:hAnsi="Arial"/>
          <w:sz w:val="18"/>
          <w:szCs w:val="18"/>
          <w:color w:val="auto"/>
        </w:rPr>
      </w:pPr>
    </w:p>
    <w:p>
      <w:pPr>
        <w:ind w:right="40" w:firstLine="1492"/>
        <w:spacing w:after="0" w:line="312" w:lineRule="auto"/>
        <w:tabs>
          <w:tab w:leader="none" w:pos="1788"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Borrowers have delivered to Agent updated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Projections (after giving effect to the applicable Increase) for the Loan Parties and their Subsidiaries evidencing compliance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for the four quarters (on a quarter-by-quarter basis) immediately following the proposed date of the applicable Increase (calculated as if a Covenant Testing Period was in effect during the entire four quarter period), and</w:t>
      </w:r>
    </w:p>
    <w:p>
      <w:pPr>
        <w:spacing w:after="0" w:line="38" w:lineRule="exact"/>
        <w:rPr>
          <w:rFonts w:ascii="Arial" w:cs="Arial" w:eastAsia="Arial" w:hAnsi="Arial"/>
          <w:sz w:val="16"/>
          <w:szCs w:val="16"/>
          <w:color w:val="auto"/>
        </w:rPr>
      </w:pPr>
    </w:p>
    <w:p>
      <w:pPr>
        <w:ind w:right="20" w:firstLine="1492"/>
        <w:spacing w:after="0" w:line="264" w:lineRule="auto"/>
        <w:tabs>
          <w:tab w:leader="none" w:pos="173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Borrowers shall have reached agreement with the Lenders (or prospective lenders) agreeing to the increased US Revolver Commitments with respect to the interest margins applicable to US Revolving Loans to be made pursuant to the increased US Revolver Commitments (which interest margins may be higher than or equal to the interest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274" w:right="259" w:bottom="1440" w:gutter="0" w:footer="0" w:header="0"/>
        </w:sectPr>
      </w:pPr>
    </w:p>
    <w:bookmarkStart w:id="159" w:name="page160"/>
    <w:bookmarkEnd w:id="159"/>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margins applicable to US Revolving Loans set forth in this Agreement immediately prior to the date of the increased US Revolver Commitments (the date of the effectiveness of the increased US Revolver Commitments and the Maximum Revolver Amount, the “</w:t>
      </w:r>
      <w:r>
        <w:rPr>
          <w:rFonts w:ascii="Arial" w:cs="Arial" w:eastAsia="Arial" w:hAnsi="Arial"/>
          <w:sz w:val="16"/>
          <w:szCs w:val="16"/>
          <w:u w:val="single" w:color="auto"/>
          <w:color w:val="auto"/>
        </w:rPr>
        <w:t>Increase Date</w:t>
      </w:r>
      <w:r>
        <w:rPr>
          <w:rFonts w:ascii="Arial" w:cs="Arial" w:eastAsia="Arial" w:hAnsi="Arial"/>
          <w:sz w:val="16"/>
          <w:szCs w:val="16"/>
          <w:color w:val="auto"/>
        </w:rPr>
        <w:t xml:space="preserve">”)) and shall have communicated the amount of such interest margins to Agent. Any Increase Joinder may, with the consent of Agent, Borrowers and the Lenders or prospective lenders agreeing to the proposed Increase, effect such amendments to this Agreement and the other Loan Documents as may be necessary to effectuate the provisions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(including any amendment necessary to effectuate the interest margins for the US Revolving Loans to be made pursuant to the increased US Revolver Commitments). Anything to the contrary contained herein notwithstanding, if the all-in yield (including interest margins, interest floors, and any original issue discount or similar yield-related discounts or payments, but excluding any arrangement, underwriting, or similar fees payable in connection therewith that are not paid to all Lenders providing the Increase to the Revolver Commitment) that is to be applicable to the Revolving Loans to be made pursuant to the increased Revolver Commitments is higher than the all-in yield (including interest margins, interest floors, and any original issue discount or similar yield-related discounts or payments, but excluding any arrangement, underwriting, or similar fees payable in connection therewith that are not paid to all Lenders providing the Increase to the Revolver Commitment) applicable to the Revolving Loans hereunder immediately prior to the applicable Increase Date (the amount by which all-in yield is higher, the “</w:t>
      </w:r>
      <w:r>
        <w:rPr>
          <w:rFonts w:ascii="Arial" w:cs="Arial" w:eastAsia="Arial" w:hAnsi="Arial"/>
          <w:sz w:val="16"/>
          <w:szCs w:val="16"/>
          <w:u w:val="single" w:color="auto"/>
          <w:color w:val="auto"/>
        </w:rPr>
        <w:t>Excess</w:t>
      </w:r>
      <w:r>
        <w:rPr>
          <w:rFonts w:ascii="Arial" w:cs="Arial" w:eastAsia="Arial" w:hAnsi="Arial"/>
          <w:sz w:val="16"/>
          <w:szCs w:val="16"/>
          <w:color w:val="auto"/>
        </w:rPr>
        <w:t>”), then the interest margin applicable to the US Revolving Loans, UK Revolving Loans and Canadian Revolving Loans immediately prior to the Increase Date shall be increased by the amount of the Excess, effective on the applicable Increase Date, and without the necessity of any action by any party hereto.</w:t>
      </w:r>
    </w:p>
    <w:p>
      <w:pPr>
        <w:spacing w:after="0" w:line="64" w:lineRule="exact"/>
        <w:rPr>
          <w:sz w:val="20"/>
          <w:szCs w:val="20"/>
          <w:color w:val="auto"/>
        </w:rPr>
      </w:pPr>
    </w:p>
    <w:p>
      <w:pPr>
        <w:ind w:left="1160" w:hanging="239"/>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80" w:firstLine="921"/>
        <w:spacing w:after="0" w:line="264" w:lineRule="auto"/>
        <w:tabs>
          <w:tab w:leader="none" w:pos="116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Unless otherwise specifically provided herein, all references in this Agreement and any other Loan Document to US Revolving Loans shall be deemed, unless the context otherwise requires, to include US Revolving Loans made pursuant to the increased US Revolver Commitments and Maximum Revolver Amount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921"/>
        <w:spacing w:after="0" w:line="270" w:lineRule="auto"/>
        <w:tabs>
          <w:tab w:leader="none" w:pos="11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Each of the Lenders having a US Revolver Commitment prior to the Increase Date (the “</w:t>
      </w:r>
      <w:r>
        <w:rPr>
          <w:rFonts w:ascii="Arial" w:cs="Arial" w:eastAsia="Arial" w:hAnsi="Arial"/>
          <w:sz w:val="17"/>
          <w:szCs w:val="17"/>
          <w:u w:val="single" w:color="auto"/>
          <w:color w:val="auto"/>
        </w:rPr>
        <w:t>Pre-Increase Revolver Lenders</w:t>
      </w:r>
      <w:r>
        <w:rPr>
          <w:rFonts w:ascii="Arial" w:cs="Arial" w:eastAsia="Arial" w:hAnsi="Arial"/>
          <w:sz w:val="17"/>
          <w:szCs w:val="17"/>
          <w:color w:val="auto"/>
        </w:rPr>
        <w:t>”) shall assign to any Lender (or its Foreign Lender Affiliate) which is acquiring a new or additional US Revolver Commitment on the Increase Date (the “</w:t>
      </w:r>
      <w:r>
        <w:rPr>
          <w:rFonts w:ascii="Arial" w:cs="Arial" w:eastAsia="Arial" w:hAnsi="Arial"/>
          <w:sz w:val="17"/>
          <w:szCs w:val="17"/>
          <w:u w:val="single" w:color="auto"/>
          <w:color w:val="auto"/>
        </w:rPr>
        <w:t>Post-Increase Revolver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Lenders</w:t>
      </w:r>
      <w:r>
        <w:rPr>
          <w:rFonts w:ascii="Arial" w:cs="Arial" w:eastAsia="Arial" w:hAnsi="Arial"/>
          <w:sz w:val="17"/>
          <w:szCs w:val="17"/>
          <w:color w:val="auto"/>
        </w:rPr>
        <w:t>”), and such Post-Increase Revolver Lenders shall purchase from each Pre-Increase Revolver Lender, at the principal amount thereof, such interests in the US Revolving Loans and participation interests in US Letters of Credit on such Increase Date as shall be necessary in order that, after giving effect to all such assignments and purchases, (i) such US Revolving Loans and participation interests in US Letters of Credit will be held by Pre-Increase Revolver Lenders and Post-Increase Revolver Lenders ratably in accordance with their Pro Rata Share after giving effect to such increased US Revolver Commitments, and (ii) the Pro Rata Share of each Lender with a US Revolver Commitment shall equal such Lender’s (or its Foreign Lender Affiliate’s) Pro Rata Share of the Canadian Revolving Commitment and such Lender’s (or its Foreign Lender Affiliate’s) Pro Rata Share of the UK Revolver Commitment. Each Lender shall execute such documents as Agent shall request to effectuate the foregoing.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274" w:right="259" w:bottom="1440" w:gutter="0" w:footer="0" w:header="0"/>
        </w:sectPr>
      </w:pPr>
    </w:p>
    <w:bookmarkStart w:id="160" w:name="page161"/>
    <w:bookmarkEnd w:id="160"/>
    <w:p>
      <w:pPr>
        <w:ind w:left="-40" w:right="60" w:firstLine="921"/>
        <w:spacing w:after="0" w:line="255" w:lineRule="auto"/>
        <w:tabs>
          <w:tab w:leader="none" w:pos="1098"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US Revolving Loans, US Revolver Commitments, and Maximum Revolver Amount established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constitute US Revolving Loans, US Revolver Commitments, and Maximum Revolver Amount under, and shall be entitled to all the benefits afforded by, this Agreement and the other Loan Documents, and shall, without limiting the foregoing, benefit equally and ratably from any guarantees and the security interests created by the Loan Documents. US Borrowers shall take any actions reasonably required by Agent to confirm that the Liens and security interests granted by the Loan Documents continue to be perfected under the Code or otherwise after giving effect to the establishment of any such new US Revolver Commitments and Maximum Revolver Amount.</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u w:val="single" w:color="auto"/>
          <w:color w:val="auto"/>
        </w:rPr>
        <w:t>Joint and Several Liability of US Borrowers, UK Borrowers and Canadian Borrowers</w:t>
      </w:r>
      <w:r>
        <w:rPr>
          <w:rFonts w:ascii="Arial" w:cs="Arial" w:eastAsia="Arial" w:hAnsi="Arial"/>
          <w:sz w:val="18"/>
          <w:szCs w:val="18"/>
          <w:color w:val="auto"/>
        </w:rPr>
        <w:t>.</w:t>
      </w:r>
    </w:p>
    <w:p>
      <w:pPr>
        <w:spacing w:after="0" w:line="121" w:lineRule="exact"/>
        <w:rPr>
          <w:sz w:val="20"/>
          <w:szCs w:val="20"/>
          <w:color w:val="auto"/>
        </w:rPr>
      </w:pPr>
    </w:p>
    <w:p>
      <w:pPr>
        <w:ind w:left="-40" w:firstLine="921"/>
        <w:spacing w:after="0" w:line="253" w:lineRule="auto"/>
        <w:tabs>
          <w:tab w:leader="none" w:pos="11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US Borrower is accepting joint and several liability hereunder and under the other Loan Documents in consideration of the financial accommodations to be provided by the Lender Group under this Agreement, for the mutual benefit, directly and indirectly, of each US Borrower and in consideration of the undertakings of the other US Borrowers to accept joint and several liability for the US Obligations. Each Canadian Borrower is accepting joint and several liability hereunder and under the other Loan Documents in consideration of the financial accommodations to be provided by the Lender Group under this Agreement, for the mutual benefit, directly and indirectly, of each Canadian Borrower and in consideration of the undertakings of the other Canadian Borrowers to accept joint and several liability for the Canadian Obligations. Each UK Borrower is accepting joint and several liability hereunder and under the other Loan Documents in consideration of the financial accommodations to be provided by the Lender Group under this Agreement, for the mutual benefit, directly and indirectly, of each UK Borrower and in consideration of the undertakings of the other UK Borrowers to accept joint and several liability for the UK Obligations.</w:t>
      </w:r>
    </w:p>
    <w:p>
      <w:pPr>
        <w:spacing w:after="0" w:line="89" w:lineRule="exact"/>
        <w:rPr>
          <w:rFonts w:ascii="Arial" w:cs="Arial" w:eastAsia="Arial" w:hAnsi="Arial"/>
          <w:sz w:val="18"/>
          <w:szCs w:val="18"/>
          <w:color w:val="auto"/>
        </w:rPr>
      </w:pPr>
    </w:p>
    <w:p>
      <w:pPr>
        <w:ind w:left="-40" w:right="40" w:firstLine="921"/>
        <w:spacing w:after="0" w:line="269" w:lineRule="auto"/>
        <w:tabs>
          <w:tab w:leader="none" w:pos="112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Each US Borrower, jointly and severally, hereby irrevocably and unconditionally accepts, not merely as a surety but also as a co-debtor, joint and several liability with the other US Borrowers, with respect to the payment and performance of all of the US Obligations (including any US Obligations arising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it being the intention of the parties hereto that all the US Obligations shall be the joint and several obligations of each US Borrower without preferences or distinction among them. Accordingly, each US Borrower hereby waives any and all suretyship defenses that would otherwise be available to such US Borrower under applicable law. Each Canadian Borrower, jointly and severally, hereby irrevocably and unconditionally accepts, not merely as a surety but also as a co-debtor, joint and several liability with the other Canadian Borrowers, with respect to the payment and performance of all of the Canadian Obligations (including any Canadian Obligations arising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it being the intention of the parties hereto that all the Canadian Obligations shall be the joint and several obligations of each Canadian Borrower without preferences or distinction among them. Accordingly, each Canadian Borrower hereby waives any and all suretyship defenses that would otherwise be available to such Canadian Borrower under applicable law. Each UK Borrower, jointly and severally, hereby irrevocably and unconditionally accepts, not merely as a surety but also as a co-debtor, joint and several liability with the other UK Borrowers, with respect to the payment and performance of all of the UK Obligations (including any UK Obligations arising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it being the intention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40"/>
          </w:cols>
          <w:pgMar w:left="280" w:top="274" w:right="279" w:bottom="1440" w:gutter="0" w:footer="0" w:header="0"/>
        </w:sectPr>
      </w:pPr>
    </w:p>
    <w:bookmarkStart w:id="161" w:name="page162"/>
    <w:bookmarkEnd w:id="161"/>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parties hereto that all the UK Obligations shall be the joint and several obligations of each UK Borrower without preferences or distinction among them. Accordingly, each UK Borrower hereby waives any and all suretyship defenses that would otherwise be available to such UK Borrower under applicable law.</w:t>
      </w:r>
    </w:p>
    <w:p>
      <w:pPr>
        <w:spacing w:after="0" w:line="73" w:lineRule="exact"/>
        <w:rPr>
          <w:sz w:val="20"/>
          <w:szCs w:val="20"/>
          <w:color w:val="auto"/>
        </w:rPr>
      </w:pPr>
    </w:p>
    <w:p>
      <w:pPr>
        <w:ind w:firstLine="921"/>
        <w:spacing w:after="0" w:line="269" w:lineRule="auto"/>
        <w:tabs>
          <w:tab w:leader="none" w:pos="115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and to the extent that any US Borrower shall fail to make any payment with respect to any of the US Obligations as and when due, whether upon maturity, acceleration, or otherwise, or to perform any of the US Obligations in accordance with the terms thereof, then in each such event the other US Borrowers will make such payment with respect to, or perform, such US Obligations until such time as all of the US Obligations are paid in full, and without the need for demand, protest, or any other notice or formality. If and to the extent that any Canadian Borrower shall fail to make any payment with respect to any of the Canadian Obligations as and when due, whether upon maturity, acceleration, or otherwise, or to perform any of the Canadian Obligations in accordance with the terms thereof, then in each such event the other Canadian Borrowers will make such payment with respect to, or perform, such Canadian Obligations until such time as all of the Canadian Obligations are paid in full, and without the need for demand, protest, or any other notice or formality. If and to the extent that any UK Borrower shall fail to make any payment with respect to any of the UK Obligations as and when due, whether upon maturity, acceleration, or otherwise, or to perform any of the UK Obligations in accordance with the terms thereof, then in each such event the other UK Borrowers will make such payment with respect to, or perform, such UK Obligations until such time as all of the UK Obligations are paid in full, and without the need for demand, protest, or any other notice or formality.</w:t>
      </w:r>
    </w:p>
    <w:p>
      <w:pPr>
        <w:spacing w:after="0" w:line="74" w:lineRule="exact"/>
        <w:rPr>
          <w:rFonts w:ascii="Arial" w:cs="Arial" w:eastAsia="Arial" w:hAnsi="Arial"/>
          <w:sz w:val="17"/>
          <w:szCs w:val="17"/>
          <w:color w:val="auto"/>
        </w:rPr>
      </w:pPr>
    </w:p>
    <w:p>
      <w:pPr>
        <w:ind w:firstLine="921"/>
        <w:spacing w:after="0" w:line="270" w:lineRule="auto"/>
        <w:tabs>
          <w:tab w:leader="none" w:pos="116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The US Obligations of each US Borrower under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constitute the absolute and unconditional, full recourse US Obligations of each US Borrower enforceable against each US Borrower to the full extent of its properties and assets, irrespective of the validity, regularity or enforceability of the provisions of this Agreement (other than this </w:t>
      </w:r>
      <w:r>
        <w:rPr>
          <w:rFonts w:ascii="Arial" w:cs="Arial" w:eastAsia="Arial" w:hAnsi="Arial"/>
          <w:sz w:val="17"/>
          <w:szCs w:val="17"/>
          <w:u w:val="single" w:color="auto"/>
          <w:color w:val="auto"/>
        </w:rPr>
        <w:t>Section 2.15(d)</w:t>
      </w:r>
      <w:r>
        <w:rPr>
          <w:rFonts w:ascii="Arial" w:cs="Arial" w:eastAsia="Arial" w:hAnsi="Arial"/>
          <w:sz w:val="17"/>
          <w:szCs w:val="17"/>
          <w:color w:val="auto"/>
        </w:rPr>
        <w:t xml:space="preserve">) or any other circumstances whatsoever. The Canadian Obligations of each Canadian Borrower under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constitute the absolute and unconditional, full recourse Canadian Obligations of each Canadian Borrower enforceable against each Canadian Borrower to the full extent of its properties and assets, irrespective of the validity, regularity or enforceability of the provisions of this Agreement (other than this </w:t>
      </w:r>
      <w:r>
        <w:rPr>
          <w:rFonts w:ascii="Arial" w:cs="Arial" w:eastAsia="Arial" w:hAnsi="Arial"/>
          <w:sz w:val="17"/>
          <w:szCs w:val="17"/>
          <w:u w:val="single" w:color="auto"/>
          <w:color w:val="auto"/>
        </w:rPr>
        <w:t>Section 2.15(d)</w:t>
      </w:r>
      <w:r>
        <w:rPr>
          <w:rFonts w:ascii="Arial" w:cs="Arial" w:eastAsia="Arial" w:hAnsi="Arial"/>
          <w:sz w:val="17"/>
          <w:szCs w:val="17"/>
          <w:color w:val="auto"/>
        </w:rPr>
        <w:t xml:space="preserve">) or any other circumstances whatsoever. The UK Obligations of each UK Borrower under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constitute the absolute and unconditional, full recourse UK Obligations of each UK Borrower enforceable against each UK Borrower to the full extent of its properties and assets, irrespective of the validity, regularity or enforceability of the provisions of this Agreement (other than this </w:t>
      </w:r>
      <w:r>
        <w:rPr>
          <w:rFonts w:ascii="Arial" w:cs="Arial" w:eastAsia="Arial" w:hAnsi="Arial"/>
          <w:sz w:val="17"/>
          <w:szCs w:val="17"/>
          <w:u w:val="single" w:color="auto"/>
          <w:color w:val="auto"/>
        </w:rPr>
        <w:t>Section 2.15(d)</w:t>
      </w:r>
      <w:r>
        <w:rPr>
          <w:rFonts w:ascii="Arial" w:cs="Arial" w:eastAsia="Arial" w:hAnsi="Arial"/>
          <w:sz w:val="17"/>
          <w:szCs w:val="17"/>
          <w:color w:val="auto"/>
        </w:rPr>
        <w:t>) or any other circumstances whatsoever.</w:t>
      </w:r>
    </w:p>
    <w:p>
      <w:pPr>
        <w:spacing w:after="0" w:line="73" w:lineRule="exact"/>
        <w:rPr>
          <w:rFonts w:ascii="Arial" w:cs="Arial" w:eastAsia="Arial" w:hAnsi="Arial"/>
          <w:sz w:val="17"/>
          <w:szCs w:val="17"/>
          <w:color w:val="auto"/>
        </w:rPr>
      </w:pPr>
    </w:p>
    <w:p>
      <w:pPr>
        <w:ind w:right="60" w:firstLine="921"/>
        <w:spacing w:after="0" w:line="297" w:lineRule="auto"/>
        <w:tabs>
          <w:tab w:leader="none" w:pos="115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Without limiting the generality of the foregoing and except as otherwise expressly provided in this Agreement, each Borrower hereby waives presentments, demands for performance, protests and notices, including notices of acceptance of its joint and several liability, notice of any Revolving Loans, any portion of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Obligations or other financial accommodations or of any demand for any payment under this Agreement, notice of any action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274" w:right="239" w:bottom="1440" w:gutter="0" w:footer="0" w:header="0"/>
        </w:sectPr>
      </w:pPr>
    </w:p>
    <w:bookmarkStart w:id="162" w:name="page163"/>
    <w:bookmarkEnd w:id="16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at any time taken or omitted by Agent or Lenders under or in respect of any of the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member of the Lender Group’s or any Bank Product Provider’s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member of the Lender Group or any Bank Product Provider, any defense (legal or equitable), set-off, counterclaim, or claim which each Borrower may now or at any time hereafter have against any other Borrower or any other party liable to any member of the Lender Group or any Bank Product Provider, any defense, set-off, counterclaim, or claim, of any kind or nature, arising directly or indirectly from the present or future lack of perfection, sufficiency, validity, or enforceability of the Obligations or any security therefor, and any right or defense arising by reason of any claim or defense based upon an election of remedies by any member of the Lender Group or any Bank Product Provider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any Agent or Lender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afford grounds for terminating, discharging or relieving any Borrower, in whole or in part, from any of its Obligations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it being the intention of each Borrower that, so long as any of the Obligations hereunder remain unsatisfied, the Obligations of each Borrower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be discharged except by performance and then only to the extent of such performance. The Obligations of each Borrower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be diminished or rendered unenforceable by any winding up, reorganization, arrangement, liquidation, reconstruction or similar proceeding with respect to any other Borrower or any Agent or Lender.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US Obligations, UK Obligations or the Canadian Obligations, as applicable, to the extent of such payment, based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274" w:right="259" w:bottom="1440" w:gutter="0" w:footer="0" w:header="0"/>
        </w:sectPr>
      </w:pPr>
    </w:p>
    <w:bookmarkStart w:id="163" w:name="page164"/>
    <w:bookmarkEnd w:id="163"/>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arising out of the disability of any Borrower or any other Person, or the validity, legality, or unenforceability of the Obligations or any part thereof from any cause, or the cessation from any cause of the liability of any Borrower other than payment of the US Obligations, UK Obligations or Canadian Obligations, as applicable, to the extent of such payment. Agent may, at the election of the Required Lenders, foreclose upon any Collateral held by Agent by one or more judicial or nonjudicial sales or other dispositions, whether or not every aspect of any such sale is commercially reasonable or otherwise fails to comply with applicable law or may exercise any other right or remedy Agent, any other member of the Lender Group, or any Bank Product Provider may have against any Borrower or any other Person, or any security, in each case, without affecting or impairing in any way the liability of any of the Borrowers hereunder except to the extent the US Obligations, UK Obligations or Canadian Obligations, as applicable, have been paid.</w:t>
      </w:r>
    </w:p>
    <w:p>
      <w:pPr>
        <w:spacing w:after="0" w:line="59" w:lineRule="exact"/>
        <w:rPr>
          <w:sz w:val="20"/>
          <w:szCs w:val="20"/>
          <w:color w:val="auto"/>
        </w:rPr>
      </w:pPr>
    </w:p>
    <w:p>
      <w:pPr>
        <w:ind w:right="620" w:firstLine="921"/>
        <w:spacing w:after="0" w:line="276" w:lineRule="auto"/>
        <w:tabs>
          <w:tab w:leader="none" w:pos="113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Each Borrower represents and warrants to Agent and Lenders that such Borrower is currently informed of the financial condition of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spacing w:after="0" w:line="64" w:lineRule="exact"/>
        <w:rPr>
          <w:rFonts w:ascii="Arial" w:cs="Arial" w:eastAsia="Arial" w:hAnsi="Arial"/>
          <w:sz w:val="17"/>
          <w:szCs w:val="17"/>
          <w:color w:val="auto"/>
        </w:rPr>
      </w:pPr>
    </w:p>
    <w:p>
      <w:pPr>
        <w:ind w:firstLine="921"/>
        <w:spacing w:after="0" w:line="289" w:lineRule="auto"/>
        <w:tabs>
          <w:tab w:leader="none" w:pos="116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are made for the benefit of Agent, each member of the Lender Group, each Bank Product Provider, and their respective successors and assigns, and may be enforced by it or them from time to time against any or all applicable Borrowers as often as occasion therefor may arise and without requirement on the part of Agent, any member of the Lender Group, any Bank Product Provider, or any of their successors or assigns first to marshal any of its or their claims or to exercise any of its or their rights against any applicable Borrower or to exhaust any remedies available to it or them against any applicable Borrower or to resort to any other source or means of obtaining payment of any of the US Obligations, UK Obligations or Canadian Obligations hereunder, as applicable, or to elect any other remedy.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administration, bankruptcy or reorganization of any Borrower, or otherwise,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will forthwith be reinstated in effect, as though such payment had not been made.</w:t>
      </w:r>
    </w:p>
    <w:p>
      <w:pPr>
        <w:spacing w:after="0" w:line="58" w:lineRule="exact"/>
        <w:rPr>
          <w:rFonts w:ascii="Arial" w:cs="Arial" w:eastAsia="Arial" w:hAnsi="Arial"/>
          <w:sz w:val="16"/>
          <w:szCs w:val="16"/>
          <w:color w:val="auto"/>
        </w:rPr>
      </w:pPr>
    </w:p>
    <w:p>
      <w:pPr>
        <w:ind w:firstLine="921"/>
        <w:spacing w:after="0" w:line="255" w:lineRule="auto"/>
        <w:tabs>
          <w:tab w:leader="none" w:pos="11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Each US Borrower, UK Borrower and Canadian Borrower, as applicable, hereby agrees that it will not enforce any of its rights that arise from the existence, payment, performance or enforcement of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including rights of subrogation, reimbursement, exoneration, contribution or indemnification and any right to participate in any claim or remedy of Agent, any other member of the Lender Group, or any Bank Product Provider against any other US Borrower, UK Borrower or Canadian Borrower, as applicable, whether or not such claim, remedy or right arises in equity or under contract, statute or common law, including the right to take or receive from any US Borrower, UK Borrower or Canadian Borrower, as applicable, directly or indirectly, in cash or other property or by set-off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274" w:right="259" w:bottom="1440" w:gutter="0" w:footer="0" w:header="0"/>
        </w:sectPr>
      </w:pPr>
    </w:p>
    <w:bookmarkStart w:id="164" w:name="page165"/>
    <w:bookmarkEnd w:id="16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any other manner, payment or security solely on account of such claim, remedy or right, unless and until such time as all of the US Obligations, UK Obligations or Canadian Obligations, as applicable, have been paid in full in cash. Any claim which any US Borrower, UK Borrower or Canadian Borrower, as applicable, may have against any other US Borrower, UK Borrower or Canadian Borrower, as applicable, with respect to any payments to any Agent or any member of the Lender Group hereunder or under any of the Bank Product Agreements are hereby expressly made subordinate and junior in right of payment, without limitation as to any increases in the US Obligations, UK Obligations or Canadian Obligations arising hereunder or thereunder, to the prior payment in full in cash of the US Obligations, UK Obligations or Canadian Obligations, as applicable, and, in the event of any insolvency, bankruptcy, receivership, administration, liquidation, reorganization or other similar proceeding under the laws of any jurisdiction relating to any US Borrower, UK Borrower or Canadian Borrower, as applicable, its debts or its assets, whether voluntary or involuntary, all such US Obligations, UK Obligations or Canadian Obligations, as applicable,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Agent, for the benefit of the Lender Group and the Bank Product Providers, and shall forthwith be paid to Agent to be credited and applied to the applicable Obligations and all other amounts payable under this Agreement, whether matured or unmatured, in accordance with the terms of this Agreement, or to be held as Collateral for any applicable Obligations or other amounts payable under this Agreement thereafter arising. Notwithstanding anything to the contrary contained in this Agreement, no US Borrower may exercise any rights of subrogation, contribution, indemnity, reimbursement or other similar rights against, and may not proceed or seek recourse against or with respect to any property or asset of, any other US Borrower (the “</w:t>
      </w:r>
      <w:r>
        <w:rPr>
          <w:rFonts w:ascii="Arial" w:cs="Arial" w:eastAsia="Arial" w:hAnsi="Arial"/>
          <w:sz w:val="16"/>
          <w:szCs w:val="16"/>
          <w:u w:val="single" w:color="auto"/>
          <w:color w:val="auto"/>
        </w:rPr>
        <w:t>Foreclosed US Borrower</w:t>
      </w:r>
      <w:r>
        <w:rPr>
          <w:rFonts w:ascii="Arial" w:cs="Arial" w:eastAsia="Arial" w:hAnsi="Arial"/>
          <w:sz w:val="16"/>
          <w:szCs w:val="16"/>
          <w:color w:val="auto"/>
        </w:rPr>
        <w:t>”), including after payment in full of the US Obligations, if all or any portion of the US Obligations have been satisfied in connection with an exercise of remedies in respect of the Equity Interests of such Foreclosed US Borrower whether pursuant to this Agreement or otherwise. Notwithstanding anything to the contrary contained in this Agreement, no Canadian Borrower may exercise any rights of subrogation, contribution, indemnity, reimbursement or other similar rights against, and may not proceed or seek recourse against or with respect to any property or asset of, any other Canadian Borrower (the “</w:t>
      </w:r>
      <w:r>
        <w:rPr>
          <w:rFonts w:ascii="Arial" w:cs="Arial" w:eastAsia="Arial" w:hAnsi="Arial"/>
          <w:sz w:val="16"/>
          <w:szCs w:val="16"/>
          <w:u w:val="single" w:color="auto"/>
          <w:color w:val="auto"/>
        </w:rPr>
        <w:t>Foreclosed Canadian Borrower</w:t>
      </w:r>
      <w:r>
        <w:rPr>
          <w:rFonts w:ascii="Arial" w:cs="Arial" w:eastAsia="Arial" w:hAnsi="Arial"/>
          <w:sz w:val="16"/>
          <w:szCs w:val="16"/>
          <w:color w:val="auto"/>
        </w:rPr>
        <w:t>”), including after payment in full of the Canadian Obligations, if all or any portion of the Canadian Obligations have been satisfied in connection with an exercise of remedies in respect of the Equity Interests of such Foreclosed Canadian Borrower whether pursuant to this Agreement or otherwise. Notwithstanding anything to the contrary contained in this Agreement, no UK Borrower may exercise any rights of subrogation, contribution, indemnity, reimbursement or other similar rights against, and may not proceed or seek recourse against or with respect to any property or asset of, any other UK Borrower (the “</w:t>
      </w:r>
      <w:r>
        <w:rPr>
          <w:rFonts w:ascii="Arial" w:cs="Arial" w:eastAsia="Arial" w:hAnsi="Arial"/>
          <w:sz w:val="16"/>
          <w:szCs w:val="16"/>
          <w:u w:val="single" w:color="auto"/>
          <w:color w:val="auto"/>
        </w:rPr>
        <w:t>Foreclosed UK Borrower</w:t>
      </w:r>
      <w:r>
        <w:rPr>
          <w:rFonts w:ascii="Arial" w:cs="Arial" w:eastAsia="Arial" w:hAnsi="Arial"/>
          <w:sz w:val="16"/>
          <w:szCs w:val="16"/>
          <w:color w:val="auto"/>
        </w:rPr>
        <w:t xml:space="preserve">”), including after payment in full of the UK Obligations, if all or any portion of the UK Obligations have been satisfied in connection with an exercise of remedies in respect of the Equity Interests of such Foreclosed UK Borrower whether pursuant to this Agreement or otherwise. Notwithstanding anything in this Agreement to the contrary, the foregoing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not be applied, or interpreted in a manner that, results in an income inclusion to the Borrowers under Section 956 of the IRC.</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274" w:right="259" w:bottom="1440" w:gutter="0" w:footer="0" w:header="0"/>
        </w:sectPr>
      </w:pPr>
    </w:p>
    <w:bookmarkStart w:id="165" w:name="page166"/>
    <w:bookmarkEnd w:id="16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2.16. </w:t>
      </w:r>
      <w:r>
        <w:rPr>
          <w:rFonts w:ascii="Arial" w:cs="Arial" w:eastAsia="Arial" w:hAnsi="Arial"/>
          <w:sz w:val="18"/>
          <w:szCs w:val="18"/>
          <w:b w:val="1"/>
          <w:bCs w:val="1"/>
          <w:u w:val="single" w:color="auto"/>
          <w:color w:val="auto"/>
        </w:rPr>
        <w:t>Currencies</w:t>
      </w:r>
      <w:r>
        <w:rPr>
          <w:rFonts w:ascii="Arial" w:cs="Arial" w:eastAsia="Arial" w:hAnsi="Arial"/>
          <w:sz w:val="18"/>
          <w:szCs w:val="18"/>
          <w:color w:val="auto"/>
        </w:rPr>
        <w:t>. The US Revolving Loans and other US Obligations (unless such other US Obligations expressly provide otherwise) shall be made and repaid in Dollars. The Canadian Revolving Loans and other Canadian Obligations (unless such other Canadian Obligations expressly provide otherwise) shall be made in Dollars or Canadian Dollars, as selected by Administrative Borrower as provided herein. All such Canadian Obligations denominated in Dollars shall be repaid in Dollars and all such Canadian Obligations denominated in Canadian Dollars shall be repaid in Canadian Dollars. The UK Revolving Loans and other UK Obligations (unless such other UK Obligations expressly provide otherwise) shall be made in Dollars or Sterling, as selected by UK Borrowers as provided herein. All such UK Obligations denominated in Dollars shall be repaid in Dollars, all such UK Obligations denominated in Sterling shall be repaid in Sterling.</w:t>
      </w:r>
    </w:p>
    <w:p>
      <w:pPr>
        <w:spacing w:after="0" w:line="81" w:lineRule="exact"/>
        <w:rPr>
          <w:sz w:val="20"/>
          <w:szCs w:val="20"/>
          <w:color w:val="auto"/>
        </w:rPr>
      </w:pPr>
    </w:p>
    <w:p>
      <w:pPr>
        <w:ind w:right="340" w:firstLine="456"/>
        <w:spacing w:after="0" w:line="303"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b w:val="1"/>
          <w:bCs w:val="1"/>
          <w:u w:val="single" w:color="auto"/>
          <w:color w:val="auto"/>
        </w:rPr>
        <w:t>Interest Act (Canada); Criminal Rate of Interest; Nominal Rate of Interest</w:t>
      </w:r>
      <w:r>
        <w:rPr>
          <w:rFonts w:ascii="Arial" w:cs="Arial" w:eastAsia="Arial" w:hAnsi="Arial"/>
          <w:sz w:val="16"/>
          <w:szCs w:val="16"/>
          <w:color w:val="auto"/>
        </w:rPr>
        <w:t>. Notwithstanding anything to the contrary contained in this Agreement or in any other Loan Document, solely to the extent that: (i) a court of competent jurisdiction finally determines that the calculation or determination of interest payable by Canadian Borrowers in respect of the Obligations pursuant to this Agreement and the other Loan Documents shall be governed by the Canadian laws of any province of Canada and the federal laws of Canada; or (ii) the Interest Act (Canada) otherwise applies:</w:t>
      </w:r>
    </w:p>
    <w:p>
      <w:pPr>
        <w:spacing w:after="0" w:line="47" w:lineRule="exact"/>
        <w:rPr>
          <w:sz w:val="20"/>
          <w:szCs w:val="20"/>
          <w:color w:val="auto"/>
        </w:rPr>
      </w:pPr>
    </w:p>
    <w:p>
      <w:pPr>
        <w:ind w:right="80" w:firstLine="921"/>
        <w:spacing w:after="0" w:line="259" w:lineRule="auto"/>
        <w:tabs>
          <w:tab w:leader="none" w:pos="115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whenever interest payable by Canadian Borrowers is calculated on the basis of a period which is less than the actual number of days in a calendar year, each rate of interest determined pursuant to such calculation is, 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equivalent to such rate multiplied by the actual number of days in the calendar year in which such rate is to be ascertained and divided by the number of days used as the basis of such calculation;</w:t>
      </w:r>
    </w:p>
    <w:p>
      <w:pPr>
        <w:spacing w:after="0" w:line="78" w:lineRule="exact"/>
        <w:rPr>
          <w:rFonts w:ascii="Arial" w:cs="Arial" w:eastAsia="Arial" w:hAnsi="Arial"/>
          <w:sz w:val="18"/>
          <w:szCs w:val="18"/>
          <w:color w:val="auto"/>
        </w:rPr>
      </w:pPr>
    </w:p>
    <w:p>
      <w:pPr>
        <w:ind w:right="20" w:firstLine="921"/>
        <w:spacing w:after="0" w:line="286" w:lineRule="auto"/>
        <w:tabs>
          <w:tab w:leader="none" w:pos="116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in no event shall the aggregate “interest” (as defined in Section 347 of the </w:t>
      </w:r>
      <w:r>
        <w:rPr>
          <w:rFonts w:ascii="Arial" w:cs="Arial" w:eastAsia="Arial" w:hAnsi="Arial"/>
          <w:sz w:val="16"/>
          <w:szCs w:val="16"/>
          <w:i w:val="1"/>
          <w:iCs w:val="1"/>
          <w:color w:val="auto"/>
        </w:rPr>
        <w:t>Criminal Code</w:t>
      </w:r>
      <w:r>
        <w:rPr>
          <w:rFonts w:ascii="Arial" w:cs="Arial" w:eastAsia="Arial" w:hAnsi="Arial"/>
          <w:sz w:val="16"/>
          <w:szCs w:val="16"/>
          <w:color w:val="auto"/>
        </w:rPr>
        <w:t>, R.S.C. 1985, c. C-46, as the same shall be amended, replaced or re-enacted from time to time (the “</w:t>
      </w:r>
      <w:r>
        <w:rPr>
          <w:rFonts w:ascii="Arial" w:cs="Arial" w:eastAsia="Arial" w:hAnsi="Arial"/>
          <w:sz w:val="16"/>
          <w:szCs w:val="16"/>
          <w:u w:val="single" w:color="auto"/>
          <w:color w:val="auto"/>
        </w:rPr>
        <w:t>Criminal Code Section</w:t>
      </w:r>
      <w:r>
        <w:rPr>
          <w:rFonts w:ascii="Arial" w:cs="Arial" w:eastAsia="Arial" w:hAnsi="Arial"/>
          <w:sz w:val="16"/>
          <w:szCs w:val="16"/>
          <w:color w:val="auto"/>
        </w:rPr>
        <w:t>”)) payable (whether by way of payment, collection or demand) by Canadian Borrowers to Agent or any Lender under this Agreement or any other Loan Document exceed the effective annual rate of interest on the “credit advanced” (as defined in that section) under this Agreement or such other Loan Document lawfully permitted under that section and, if any payment, collection or demand pursuant to this Agreement or any other Loan Document in respect of “interest” (as defined in that section) is determined to be contrary to the provisions of that section and the amount of such payment or collection shall be refunded by Agent and Lenders to Canadian Borrowers with such “interest” deemed to have been adjusted with retroactive effect to the maximum amount or rate of interest, as the case may be, as would not be so prohibited by the Criminal Code Section to result in a receipt by Agent or such Lender of interest at a rate not in contravention of the Criminal Code Section, such adjustment to be effected, to the extent necessary, as follows: firstly, by reducing the amounts or rates of interest required to be paid to Agent or that Lender; and then, by reducing any fees, charges, expenses and other amounts required to be paid to the affected Agent or Lender which would constitute “interest”. Notwithstanding the foregoing, and after giving effect to all such adjustments, if Agent or any Lender shall have received an amount in excess of the maximum permitted by the Criminal Code Section, then Canadian Borrowers shall be entitled, by notice in writing to the Agent or affected Lender, to obtain reimbursement from Agent or that Lender in an amount equal to such excess. For the purposes of this Agreement and each other Loan Document to which any Canadian Borrower is a party, the effective annual rate of interest payable 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70" w:right="239" w:bottom="1440" w:gutter="0" w:footer="0" w:header="0"/>
        </w:sectPr>
      </w:pPr>
    </w:p>
    <w:bookmarkStart w:id="166" w:name="page167"/>
    <w:bookmarkEnd w:id="166"/>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Borrowers shall be determined in accordance with generally accepted actuarial practices and principles over the term of the loans on the basis of annual compounding for the lawfully permitted rate of interest and, in the event of dispute, a certificate of a Fellow of the Institute of Actuaries appointed by Agent for the account of Canadian Borrowers will be conclusive for the purpose of such determination in the absence of evidence to the contrary;</w:t>
      </w:r>
    </w:p>
    <w:p>
      <w:pPr>
        <w:spacing w:after="0" w:line="39" w:lineRule="exact"/>
        <w:rPr>
          <w:sz w:val="20"/>
          <w:szCs w:val="20"/>
          <w:color w:val="auto"/>
        </w:rPr>
      </w:pPr>
    </w:p>
    <w:p>
      <w:pPr>
        <w:jc w:val="both"/>
        <w:ind w:right="80" w:firstLine="921"/>
        <w:spacing w:after="0" w:line="302" w:lineRule="auto"/>
        <w:tabs>
          <w:tab w:leader="none" w:pos="115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all calculations of interest payable by Canadian Borrowers under this Agreement or any other Loan Document are to be made on the basis of the nominal interest rate described herein and therein and not on the basis of effective yearly rates or on any other basis which gives effect to the principle of deemed reinvestment of interest. The parties acknowledge that there is a material difference between the stated nominal interest rates and the effective yearly rates of interest and that they are capable of making the calculations required to determine such effective yearly rates of interest; and</w:t>
      </w:r>
    </w:p>
    <w:p>
      <w:pPr>
        <w:spacing w:after="0" w:line="46" w:lineRule="exact"/>
        <w:rPr>
          <w:rFonts w:ascii="Arial" w:cs="Arial" w:eastAsia="Arial" w:hAnsi="Arial"/>
          <w:sz w:val="16"/>
          <w:szCs w:val="16"/>
          <w:color w:val="auto"/>
        </w:rPr>
      </w:pPr>
    </w:p>
    <w:p>
      <w:pPr>
        <w:ind w:right="660" w:firstLine="921"/>
        <w:spacing w:after="0" w:line="342" w:lineRule="auto"/>
        <w:tabs>
          <w:tab w:leader="none" w:pos="116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if there is a conflict, inconsistency, ambiguity or difference between any provision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any other Section of this Agreement or any other Loan Document with respect to Canadian Borrowers then the provisions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prevail and be paramount.</w:t>
      </w:r>
    </w:p>
    <w:p>
      <w:pPr>
        <w:spacing w:after="0" w:line="120" w:lineRule="exact"/>
        <w:rPr>
          <w:sz w:val="20"/>
          <w:szCs w:val="20"/>
          <w:color w:val="auto"/>
        </w:rPr>
      </w:pPr>
    </w:p>
    <w:p>
      <w:pPr>
        <w:ind w:left="180" w:hanging="172"/>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CONDITIONS; TERM OF AGREEMENT.</w:t>
      </w:r>
    </w:p>
    <w:p>
      <w:pPr>
        <w:spacing w:after="0" w:line="117"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Conditions Precedent to the Initial Extension of Credit</w:t>
      </w:r>
      <w:r>
        <w:rPr>
          <w:rFonts w:ascii="Arial" w:cs="Arial" w:eastAsia="Arial" w:hAnsi="Arial"/>
          <w:sz w:val="16"/>
          <w:szCs w:val="16"/>
          <w:color w:val="auto"/>
        </w:rPr>
        <w:t xml:space="preserve">. The obligation of each Lender to make the initial extensions of credit provided for hereunder is subject to the fulfillment, to the satisfaction or waiver of Agent and each Lender, of each of the conditions precedent set forth on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to this Agreement (the making of such initial extensions of credit by a Lender being conclusively deemed to be its satisfaction or waiver of the conditions precedent). In addition to the foregoing, the obligation of each Lender to make the initial extensions of credit to the UK Borrowers provided for hereunder is further subject to the fulfillment, to the satisfaction of Agent and each Lender, of each of the conditions precedent set forth on </w:t>
      </w:r>
      <w:r>
        <w:rPr>
          <w:rFonts w:ascii="Arial" w:cs="Arial" w:eastAsia="Arial" w:hAnsi="Arial"/>
          <w:sz w:val="16"/>
          <w:szCs w:val="16"/>
          <w:u w:val="single" w:color="auto"/>
          <w:color w:val="auto"/>
        </w:rPr>
        <w:t>Schedule 3.1A</w:t>
      </w:r>
      <w:r>
        <w:rPr>
          <w:rFonts w:ascii="Arial" w:cs="Arial" w:eastAsia="Arial" w:hAnsi="Arial"/>
          <w:sz w:val="16"/>
          <w:szCs w:val="16"/>
          <w:color w:val="auto"/>
        </w:rPr>
        <w:t xml:space="preserve"> (the making of such initial extensions of credit by a Lender being conclusively deemed to be its satisfaction or waiver of such conditions precedent).</w:t>
      </w:r>
    </w:p>
    <w:p>
      <w:pPr>
        <w:spacing w:after="0" w:line="4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Conditions Precedent to all Extensions of Credit</w:t>
      </w:r>
      <w:r>
        <w:rPr>
          <w:rFonts w:ascii="Arial" w:cs="Arial" w:eastAsia="Arial" w:hAnsi="Arial"/>
          <w:sz w:val="18"/>
          <w:szCs w:val="18"/>
          <w:color w:val="auto"/>
        </w:rPr>
        <w:t>. The obligation of the Lender Group (or any member thereof) to make any Revolving Loans hereunder (or to extend any other credit hereunder) at any time shall be subject to the following conditions precedent:</w:t>
      </w:r>
    </w:p>
    <w:p>
      <w:pPr>
        <w:spacing w:after="0" w:line="58" w:lineRule="exact"/>
        <w:rPr>
          <w:sz w:val="20"/>
          <w:szCs w:val="20"/>
          <w:color w:val="auto"/>
        </w:rPr>
      </w:pPr>
    </w:p>
    <w:p>
      <w:pPr>
        <w:ind w:firstLine="921"/>
        <w:spacing w:after="0" w:line="273" w:lineRule="auto"/>
        <w:tabs>
          <w:tab w:leader="none" w:pos="115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representations and warranties of each Loan Party or its Subsidiaries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274" w:right="259" w:bottom="1440" w:gutter="0" w:footer="0" w:header="0"/>
        </w:sectPr>
      </w:pPr>
    </w:p>
    <w:bookmarkStart w:id="167" w:name="page168"/>
    <w:bookmarkEnd w:id="167"/>
    <w:p>
      <w:pPr>
        <w:ind w:left="1180" w:hanging="259"/>
        <w:spacing w:after="0"/>
        <w:tabs>
          <w:tab w:leader="none" w:pos="11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 or Event of Default shall have occurred and be continuing on the date of such extension of credit, nor shall either result from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making thereof.</w:t>
      </w:r>
    </w:p>
    <w:p>
      <w:pPr>
        <w:spacing w:after="0" w:line="99"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Maturity</w:t>
      </w:r>
      <w:r>
        <w:rPr>
          <w:rFonts w:ascii="Arial" w:cs="Arial" w:eastAsia="Arial" w:hAnsi="Arial"/>
          <w:sz w:val="18"/>
          <w:szCs w:val="18"/>
          <w:color w:val="auto"/>
        </w:rPr>
        <w:t>. The Commitments shall continue in full force and effect for a term ending on the Maturity Date (unless terminated earlier in accordance with the terms hereof).</w:t>
      </w:r>
    </w:p>
    <w:p>
      <w:pPr>
        <w:spacing w:after="0" w:line="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Effect of Maturity</w:t>
      </w:r>
      <w:r>
        <w:rPr>
          <w:rFonts w:ascii="Arial" w:cs="Arial" w:eastAsia="Arial" w:hAnsi="Arial"/>
          <w:sz w:val="16"/>
          <w:szCs w:val="16"/>
          <w:color w:val="auto"/>
        </w:rPr>
        <w:t>. On the Maturity Date, all commitments of the Lender Group to provide additional credit hereunder shall automatically be terminated and all of the Obligations (other than Hedge Obligations) immediately shall become due and payable without notice or demand and Borrowers shall be required to repay all of the Obligations (other than Hedge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When all of the Obligations have been paid in full,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spacing w:after="0" w:line="5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Early Termination by Borrowers</w:t>
      </w:r>
      <w:r>
        <w:rPr>
          <w:rFonts w:ascii="Arial" w:cs="Arial" w:eastAsia="Arial" w:hAnsi="Arial"/>
          <w:sz w:val="18"/>
          <w:szCs w:val="18"/>
          <w:color w:val="auto"/>
        </w:rPr>
        <w:t>. Borrowers have the option, at any time upon five Business Days prior written notice to Agent, to repay all of the Obligations in full and terminate the Commitments. The foregoing notwithstanding, (a) Borrowers may rescind termination notices relative to proposed payments in part or in full of the Obligations with the proceeds of third party Indebtedness or Equity Interests if the closing for such issuance or incurrence does not happen on or before the date of the proposed termination (in which case, a new notice shall be required to be sent in connection with any subsequent termination), and (b) Borrowers may extend the date of termination at any time with the consent of Agent (which consent shall not be unreasonably withheld or delayed).</w:t>
      </w:r>
    </w:p>
    <w:p>
      <w:pPr>
        <w:spacing w:after="0" w:line="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Conditions Subsequent</w:t>
      </w:r>
      <w:r>
        <w:rPr>
          <w:rFonts w:ascii="Arial" w:cs="Arial" w:eastAsia="Arial" w:hAnsi="Arial"/>
          <w:sz w:val="18"/>
          <w:szCs w:val="18"/>
          <w:color w:val="auto"/>
        </w:rPr>
        <w:t xml:space="preserve">. The obligation of the Lender Group (or any member thereof) to continue to make Revolving Loans (or otherwise extend credit hereunder) is subject to the fulfillment, on or before the date applicable thereto, of the conditions subsequent set forth on </w:t>
      </w:r>
      <w:r>
        <w:rPr>
          <w:rFonts w:ascii="Arial" w:cs="Arial" w:eastAsia="Arial" w:hAnsi="Arial"/>
          <w:sz w:val="18"/>
          <w:szCs w:val="18"/>
          <w:u w:val="single" w:color="auto"/>
          <w:color w:val="auto"/>
        </w:rPr>
        <w:t>Schedule 3.6</w:t>
      </w:r>
      <w:r>
        <w:rPr>
          <w:rFonts w:ascii="Arial" w:cs="Arial" w:eastAsia="Arial" w:hAnsi="Arial"/>
          <w:sz w:val="18"/>
          <w:szCs w:val="18"/>
          <w:color w:val="auto"/>
        </w:rPr>
        <w:t xml:space="preserve"> to this Agreement (the failure by Borrowers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w:t>
      </w:r>
    </w:p>
    <w:p>
      <w:pPr>
        <w:spacing w:after="0" w:line="184" w:lineRule="exact"/>
        <w:rPr>
          <w:sz w:val="20"/>
          <w:szCs w:val="20"/>
          <w:color w:val="auto"/>
        </w:rPr>
      </w:pPr>
    </w:p>
    <w:p>
      <w:pPr>
        <w:ind w:left="180" w:hanging="172"/>
        <w:spacing w:after="0"/>
        <w:tabs>
          <w:tab w:leader="none" w:pos="18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order to induce the Lender Group to enter into this Agreement, the Parent and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274" w:right="239" w:bottom="1440" w:gutter="0" w:footer="0" w:header="0"/>
        </w:sectPr>
      </w:pPr>
    </w:p>
    <w:bookmarkStart w:id="168" w:name="page169"/>
    <w:bookmarkEnd w:id="16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that already are qualified or modified by materiality in the text thereof), as of the date of the making of each Revolving Loan (or other extension of credit) made thereafter, as though made on and as of the date of such Revolving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Due Organization and Qualification; Subsidiaries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57" w:lineRule="auto"/>
        <w:tabs>
          <w:tab w:leader="none" w:pos="115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Each Loan Party and each of its Subsidiaries (i) is duly incorporated or organized and existing and is, to the extent applicable, in good standing under the laws of the jurisdiction of its organization or incorporation, (ii) is qualified or registered to do business in any jurisdiction except where the failure to be in good standing or so qualified or registered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80" w:lineRule="exact"/>
        <w:rPr>
          <w:rFonts w:ascii="Arial" w:cs="Arial" w:eastAsia="Arial" w:hAnsi="Arial"/>
          <w:sz w:val="18"/>
          <w:szCs w:val="18"/>
          <w:color w:val="auto"/>
        </w:rPr>
      </w:pPr>
    </w:p>
    <w:p>
      <w:pPr>
        <w:ind w:right="340" w:firstLine="921"/>
        <w:spacing w:after="0" w:line="308" w:lineRule="auto"/>
        <w:tabs>
          <w:tab w:leader="none" w:pos="116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4.1(b)</w:t>
      </w:r>
      <w:r>
        <w:rPr>
          <w:rFonts w:ascii="Arial" w:cs="Arial" w:eastAsia="Arial" w:hAnsi="Arial"/>
          <w:sz w:val="17"/>
          <w:szCs w:val="17"/>
          <w:color w:val="auto"/>
        </w:rPr>
        <w:t xml:space="preserve"> to this Agreement, as of December 31, 2017, is a complete and accurate description of the authorized Equity Interests of Parent, by class, and a description of the number of shares of each such class that are issued and outstanding.</w:t>
      </w:r>
    </w:p>
    <w:p>
      <w:pPr>
        <w:spacing w:after="0" w:line="38" w:lineRule="exact"/>
        <w:rPr>
          <w:rFonts w:ascii="Arial" w:cs="Arial" w:eastAsia="Arial" w:hAnsi="Arial"/>
          <w:sz w:val="17"/>
          <w:szCs w:val="17"/>
          <w:color w:val="auto"/>
        </w:rPr>
      </w:pPr>
    </w:p>
    <w:p>
      <w:pPr>
        <w:ind w:right="240" w:firstLine="921"/>
        <w:spacing w:after="0" w:line="291" w:lineRule="auto"/>
        <w:tabs>
          <w:tab w:leader="none" w:pos="115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4.1(c)</w:t>
      </w:r>
      <w:r>
        <w:rPr>
          <w:rFonts w:ascii="Arial" w:cs="Arial" w:eastAsia="Arial" w:hAnsi="Arial"/>
          <w:sz w:val="16"/>
          <w:szCs w:val="16"/>
          <w:color w:val="auto"/>
        </w:rPr>
        <w:t xml:space="preserve"> to this Agreement (as such Schedule may be updated from time to time to reflect changes resulting from transactions permitted under this Agreement), is a complete and accurate list of the Parent’s direct and indirect Subsidiaries that are Loan Parties, showing:</w:t>
      </w:r>
    </w:p>
    <w:p>
      <w:pPr>
        <w:ind w:right="60" w:firstLine="8"/>
        <w:spacing w:after="0" w:line="255" w:lineRule="auto"/>
        <w:tabs>
          <w:tab w:leader="none" w:pos="2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number of shares of each class of common and preferred Equity Interests authorized for each of such Subsidiaries, and (ii) the number and the percentage of the outstanding shares of each such class owned directly or indirectly by Parent. All of the outstanding Equity Interests of each such Subsidiary has been validly issued and is fully paid and non-assessable.</w:t>
      </w:r>
    </w:p>
    <w:p>
      <w:pPr>
        <w:spacing w:after="0" w:line="82" w:lineRule="exact"/>
        <w:rPr>
          <w:rFonts w:ascii="Arial" w:cs="Arial" w:eastAsia="Arial" w:hAnsi="Arial"/>
          <w:sz w:val="18"/>
          <w:szCs w:val="18"/>
          <w:color w:val="auto"/>
        </w:rPr>
      </w:pPr>
    </w:p>
    <w:p>
      <w:pPr>
        <w:ind w:right="180" w:firstLine="921"/>
        <w:spacing w:after="0" w:line="302" w:lineRule="auto"/>
        <w:tabs>
          <w:tab w:leader="none" w:pos="1168"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4.1(d)</w:t>
      </w:r>
      <w:r>
        <w:rPr>
          <w:rFonts w:ascii="Arial" w:cs="Arial" w:eastAsia="Arial" w:hAnsi="Arial"/>
          <w:sz w:val="16"/>
          <w:szCs w:val="16"/>
          <w:color w:val="auto"/>
        </w:rPr>
        <w:t xml:space="preserve"> to this Agreement, there are no subscriptions, options, warrants, or calls relating to any shares of any Loan Party’s or any of its Subsidiaries’ Equity Interests, including any right of conversion or exchange under any outstanding security or other instrument. Except as set forth on </w:t>
      </w:r>
      <w:r>
        <w:rPr>
          <w:rFonts w:ascii="Arial" w:cs="Arial" w:eastAsia="Arial" w:hAnsi="Arial"/>
          <w:sz w:val="16"/>
          <w:szCs w:val="16"/>
          <w:u w:val="single" w:color="auto"/>
          <w:color w:val="auto"/>
        </w:rPr>
        <w:t>Schedule 4.1(d)</w:t>
      </w:r>
      <w:r>
        <w:rPr>
          <w:rFonts w:ascii="Arial" w:cs="Arial" w:eastAsia="Arial" w:hAnsi="Arial"/>
          <w:sz w:val="16"/>
          <w:szCs w:val="16"/>
          <w:color w:val="auto"/>
        </w:rPr>
        <w:t xml:space="preserve"> to this Agreement, no Loan Party is subject to any obligation (contingent or otherwise) to repurchase or otherwise acquire or retire any shares of its Equity Interests or any security convertible into or exchangeable for any of its Equity Interests.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Due Authorization; No Conflict</w:t>
      </w:r>
      <w:r>
        <w:rPr>
          <w:rFonts w:ascii="Arial" w:cs="Arial" w:eastAsia="Arial" w:hAnsi="Arial"/>
          <w:sz w:val="18"/>
          <w:szCs w:val="18"/>
          <w:color w:val="auto"/>
        </w:rPr>
        <w:t>.</w:t>
      </w:r>
    </w:p>
    <w:p>
      <w:pPr>
        <w:spacing w:after="0" w:line="121" w:lineRule="exact"/>
        <w:rPr>
          <w:sz w:val="20"/>
          <w:szCs w:val="20"/>
          <w:color w:val="auto"/>
        </w:rPr>
      </w:pPr>
    </w:p>
    <w:p>
      <w:pPr>
        <w:ind w:right="160" w:firstLine="921"/>
        <w:spacing w:after="0" w:line="277" w:lineRule="auto"/>
        <w:tabs>
          <w:tab w:leader="none" w:pos="115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As to each Loan Party, the execution, delivery, and performance by such Loan Party of the Loan Documents to which it is a party have been duly authorized by all necessary action on the part of such Loan Party.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274" w:right="259" w:bottom="1440" w:gutter="0" w:footer="0" w:header="0"/>
        </w:sectPr>
      </w:pPr>
    </w:p>
    <w:bookmarkStart w:id="169" w:name="page170"/>
    <w:bookmarkEnd w:id="169"/>
    <w:p>
      <w:pPr>
        <w:ind w:right="40" w:firstLine="921"/>
        <w:spacing w:after="0" w:line="270" w:lineRule="auto"/>
        <w:tabs>
          <w:tab w:leader="none" w:pos="1168"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to each Loan Party, the execution, delivery, and performance by such Loan Party of the Loan Documents to which it is a party do not and will not (i) violate any provision of federal, state, provincial, foreign or local law or regulation applicable to any Loan Party or its Subsidiaries, the Governing Documents of any Loan Party or its Subsidiaries, or any order, judgment, or decree of any court or other Governmental Authority binding on any Loan Party or its Subsidiaries the violation of which could reasonably be expected to have a Material Adverse Effect, (ii) conflict with, result in a breach of, or constitute (with due notice or lapse of time or both) a default under any Material Agreement of any Loan Party or its Subsidiaries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 (iv) require any approval of any holder of Equity Interests of a Loan Party or any approval or consent of any Person under any Material Agreement of any Loan Party,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66"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Governmental Consents</w:t>
      </w:r>
      <w:r>
        <w:rPr>
          <w:rFonts w:ascii="Arial" w:cs="Arial" w:eastAsia="Arial" w:hAnsi="Arial"/>
          <w:sz w:val="18"/>
          <w:szCs w:val="18"/>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Closing Date.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Binding Obligations; Perfected Liens</w:t>
      </w:r>
      <w:r>
        <w:rPr>
          <w:rFonts w:ascii="Arial" w:cs="Arial" w:eastAsia="Arial" w:hAnsi="Arial"/>
          <w:sz w:val="18"/>
          <w:szCs w:val="18"/>
          <w:color w:val="auto"/>
        </w:rPr>
        <w:t>.</w:t>
      </w:r>
    </w:p>
    <w:p>
      <w:pPr>
        <w:spacing w:after="0" w:line="121" w:lineRule="exact"/>
        <w:rPr>
          <w:sz w:val="20"/>
          <w:szCs w:val="20"/>
          <w:color w:val="auto"/>
        </w:rPr>
      </w:pPr>
    </w:p>
    <w:p>
      <w:pPr>
        <w:ind w:right="120" w:firstLine="921"/>
        <w:spacing w:after="0" w:line="259" w:lineRule="auto"/>
        <w:tabs>
          <w:tab w:leader="none" w:pos="115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general equitable or discretionary principles whether considered in a proceeding at law or in equity or by bankruptcy, insolvency, reorganization, moratorium, or similar laws relating to or limiting creditors’ rights generally.</w:t>
      </w:r>
    </w:p>
    <w:p>
      <w:pPr>
        <w:spacing w:after="0" w:line="78" w:lineRule="exact"/>
        <w:rPr>
          <w:rFonts w:ascii="Arial" w:cs="Arial" w:eastAsia="Arial" w:hAnsi="Arial"/>
          <w:sz w:val="18"/>
          <w:szCs w:val="18"/>
          <w:color w:val="auto"/>
        </w:rPr>
      </w:pPr>
    </w:p>
    <w:p>
      <w:pPr>
        <w:ind w:left="1160" w:hanging="239"/>
        <w:spacing w:after="0"/>
        <w:tabs>
          <w:tab w:leader="none" w:pos="11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Agent’s Liens on the Collateral are validly created, perfected (other than (i) in respect of motor vehicles that are subject to a certificate of title,</w:t>
      </w:r>
    </w:p>
    <w:p>
      <w:pPr>
        <w:spacing w:after="0" w:line="46" w:lineRule="exact"/>
        <w:rPr>
          <w:rFonts w:ascii="Arial" w:cs="Arial" w:eastAsia="Arial" w:hAnsi="Arial"/>
          <w:sz w:val="16"/>
          <w:szCs w:val="16"/>
          <w:color w:val="auto"/>
        </w:rPr>
      </w:pPr>
    </w:p>
    <w:p>
      <w:pPr>
        <w:ind w:right="140" w:firstLine="8"/>
        <w:spacing w:after="0" w:line="253" w:lineRule="auto"/>
        <w:tabs>
          <w:tab w:leader="none" w:pos="2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money, (iii) letter-of-credit rights (other than supporting obligations), (iv) commercial tort claims of the US Loan Parties (other than those that, by the terms of the US Security Agreement, are required to be perfected), and (v) any Deposit Accounts and Securities Accounts of the US Loan Parties not subject to a Control Agreement as permitted by Section 7(k) of the US Security Agreement, and subject only to the filing of financing statements and continuation statements therefor, the recordation of any Copyright Security Agreements, and the recordation of the Mortgages, in each case, in the appropriate filing offices), and first priority Liens, subject only to Permitted Liens.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274" w:right="239" w:bottom="1440" w:gutter="0" w:footer="0" w:header="0"/>
        </w:sectPr>
      </w:pPr>
    </w:p>
    <w:bookmarkStart w:id="170" w:name="page171"/>
    <w:bookmarkEnd w:id="170"/>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8"/>
          <w:szCs w:val="18"/>
          <w:b w:val="1"/>
          <w:bCs w:val="1"/>
          <w:u w:val="single" w:color="auto"/>
          <w:color w:val="auto"/>
        </w:rPr>
        <w:t>Title to Assets; No Encumbrances</w:t>
      </w:r>
      <w:r>
        <w:rPr>
          <w:rFonts w:ascii="Arial" w:cs="Arial" w:eastAsia="Arial" w:hAnsi="Arial"/>
          <w:sz w:val="18"/>
          <w:szCs w:val="18"/>
          <w:color w:val="auto"/>
        </w:rPr>
        <w:t xml:space="preserve">. Each of the Loan Parties and its Subsidiaries has (a) good title to (in the case of fee interests in Real Property), (b) good, valid and marketable title (in the case of interests in Scottish Real Estate) (c) valid leasehold interests in (in the case of leasehold interests in real or personal property), and (d) good title to (in the case of all other personal property), all of their respective assets reflected in their most recent financial statements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in each case except for assets disposed of since the date of such financial statements to the extent permitted hereby and except for such defects in title or interests as could not individually or in the aggregate reasonably be expected to cause a Material Adverse Effect.</w:t>
      </w:r>
    </w:p>
    <w:p>
      <w:pPr>
        <w:spacing w:after="0" w:line="80" w:lineRule="exact"/>
        <w:rPr>
          <w:sz w:val="20"/>
          <w:szCs w:val="20"/>
          <w:color w:val="auto"/>
        </w:rPr>
      </w:pPr>
    </w:p>
    <w:p>
      <w:pPr>
        <w:ind w:right="80" w:firstLine="456"/>
        <w:spacing w:after="0" w:line="313"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There are no actions, suits, or proceedings pending or, to the knowledge of any Borrower, threatened in writing against a Loan Party or any of its Subsidiaries that either individually or in the aggregate could reasonably be expected to result in a Material Adverse Effect.</w:t>
      </w:r>
    </w:p>
    <w:p>
      <w:pPr>
        <w:spacing w:after="0" w:line="3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No Loan Party nor any of its Subsidiaries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spacing w:after="0" w:line="7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u w:val="single" w:color="auto"/>
          <w:color w:val="auto"/>
        </w:rPr>
        <w:t>No Material Adverse Effect</w:t>
      </w:r>
      <w:r>
        <w:rPr>
          <w:rFonts w:ascii="Arial" w:cs="Arial" w:eastAsia="Arial" w:hAnsi="Arial"/>
          <w:sz w:val="18"/>
          <w:szCs w:val="18"/>
          <w:color w:val="auto"/>
        </w:rPr>
        <w:t>. All historical financial statements relating to the Loan Parties and their Subsidiaries that have been delivered by Borrowers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December 31, 2017, no event, circumstance, or change has occurred that has or could reasonably be expected to result in a Material Adverse Effect.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w:t>
      </w:r>
    </w:p>
    <w:p>
      <w:pPr>
        <w:spacing w:after="0" w:line="121" w:lineRule="exact"/>
        <w:rPr>
          <w:sz w:val="20"/>
          <w:szCs w:val="20"/>
          <w:color w:val="auto"/>
        </w:rPr>
      </w:pPr>
    </w:p>
    <w:p>
      <w:pPr>
        <w:ind w:right="460" w:firstLine="921"/>
        <w:spacing w:after="0" w:line="277" w:lineRule="auto"/>
        <w:tabs>
          <w:tab w:leader="none" w:pos="115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US Borrowers, taken as a whole, are Solvent, the Canadian Borrowers, taken as a whole, are Solvent, the UK Borrowers, taken as a whole, are Solvent, and the Loan Parties, taken as a whole, are Solvent.</w:t>
      </w:r>
    </w:p>
    <w:p>
      <w:pPr>
        <w:spacing w:after="0" w:line="62" w:lineRule="exact"/>
        <w:rPr>
          <w:rFonts w:ascii="Arial" w:cs="Arial" w:eastAsia="Arial" w:hAnsi="Arial"/>
          <w:sz w:val="18"/>
          <w:szCs w:val="18"/>
          <w:color w:val="auto"/>
        </w:rPr>
      </w:pPr>
    </w:p>
    <w:p>
      <w:pPr>
        <w:ind w:firstLine="921"/>
        <w:spacing w:after="0" w:line="264" w:lineRule="auto"/>
        <w:tabs>
          <w:tab w:leader="none" w:pos="116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Except as set forth on </w:t>
      </w:r>
      <w:r>
        <w:rPr>
          <w:rFonts w:ascii="Arial" w:cs="Arial" w:eastAsia="Arial" w:hAnsi="Arial"/>
          <w:sz w:val="16"/>
          <w:szCs w:val="16"/>
          <w:u w:val="single" w:color="auto"/>
          <w:color w:val="auto"/>
        </w:rPr>
        <w:t>Schedule 4.10(a)</w:t>
      </w:r>
      <w:r>
        <w:rPr>
          <w:rFonts w:ascii="Arial" w:cs="Arial" w:eastAsia="Arial" w:hAnsi="Arial"/>
          <w:sz w:val="16"/>
          <w:szCs w:val="16"/>
          <w:color w:val="auto"/>
        </w:rPr>
        <w:t>, as of the Closing Date, no Loan Party maintains or contributes to any Pension Plan or Multiemployer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270" w:right="239" w:bottom="1440" w:gutter="0" w:footer="0" w:header="0"/>
        </w:sectPr>
      </w:pPr>
    </w:p>
    <w:bookmarkStart w:id="171" w:name="page172"/>
    <w:bookmarkEnd w:id="171"/>
    <w:p>
      <w:pPr>
        <w:ind w:right="40" w:firstLine="921"/>
        <w:spacing w:after="0" w:line="342" w:lineRule="auto"/>
        <w:tabs>
          <w:tab w:leader="none" w:pos="1168" w:val="left"/>
        </w:tabs>
        <w:numPr>
          <w:ilvl w:val="1"/>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Loan Party and each of the ERISA Affiliates has complied with ERISA, the IRC and all applicable laws regarding each Employee Plan, except for such compliance failures that, either individually or in the aggregate, could not reasonably be expected to result in a Material Adverse Effect.</w:t>
      </w:r>
    </w:p>
    <w:p>
      <w:pPr>
        <w:spacing w:after="0" w:line="15" w:lineRule="exact"/>
        <w:rPr>
          <w:rFonts w:ascii="Arial" w:cs="Arial" w:eastAsia="Arial" w:hAnsi="Arial"/>
          <w:sz w:val="16"/>
          <w:szCs w:val="16"/>
          <w:color w:val="auto"/>
        </w:rPr>
      </w:pPr>
    </w:p>
    <w:p>
      <w:pPr>
        <w:jc w:val="both"/>
        <w:ind w:right="80" w:firstLine="921"/>
        <w:spacing w:after="0" w:line="264" w:lineRule="auto"/>
        <w:tabs>
          <w:tab w:leader="none" w:pos="115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Each Employee Plan (other than a Multiemployer Plan) is, and has been, maintained in compliance with ERISA, the IRC, all applicable laws and the terms of each such Employee Plan, except for such compliance failures that, either individually or in the aggregate, could not reasonably be expected to result in a Material Adverse Effect.</w:t>
      </w:r>
    </w:p>
    <w:p>
      <w:pPr>
        <w:spacing w:after="0" w:line="73" w:lineRule="exact"/>
        <w:rPr>
          <w:rFonts w:ascii="Arial" w:cs="Arial" w:eastAsia="Arial" w:hAnsi="Arial"/>
          <w:sz w:val="18"/>
          <w:szCs w:val="18"/>
          <w:color w:val="auto"/>
        </w:rPr>
      </w:pPr>
    </w:p>
    <w:p>
      <w:pPr>
        <w:jc w:val="both"/>
        <w:ind w:firstLine="921"/>
        <w:spacing w:after="0" w:line="259" w:lineRule="auto"/>
        <w:tabs>
          <w:tab w:leader="none" w:pos="116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Each Employee Plan (other than a Multiemployer Plan) that is intended to qualify under Section 401(a) of the IRC has received a favorable determination letter from the Internal Revenue Service or is entitled to rely on an opinion or advisory letter provided under a volume submitted or prototype program. To the knowledge of each Loan Party and except as could be reasonably expected to result in a Material Adverse Effect, nothing has occurred which could reasonably be expected to prevent, or cause the loss of, such qualification.</w:t>
      </w:r>
    </w:p>
    <w:p>
      <w:pPr>
        <w:spacing w:after="0" w:line="78" w:lineRule="exact"/>
        <w:rPr>
          <w:rFonts w:ascii="Arial" w:cs="Arial" w:eastAsia="Arial" w:hAnsi="Arial"/>
          <w:sz w:val="18"/>
          <w:szCs w:val="18"/>
          <w:color w:val="auto"/>
        </w:rPr>
      </w:pPr>
    </w:p>
    <w:p>
      <w:pPr>
        <w:ind w:right="120" w:firstLine="921"/>
        <w:spacing w:after="0" w:line="264" w:lineRule="auto"/>
        <w:tabs>
          <w:tab w:leader="none" w:pos="115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No liability to the PBGC (other than for the payment of current premiums which are not past due) by any Loan Party or ERISA Affiliate has been incurred or is reasonably expected by any Loan Party or ERISA Affiliate to be incurred with respect to any Pension Plan, except for such liability that either individually or in the aggregate could not reasonably be expected to result in a Material Adverse Effect.</w:t>
      </w:r>
    </w:p>
    <w:p>
      <w:pPr>
        <w:spacing w:after="0" w:line="73" w:lineRule="exact"/>
        <w:rPr>
          <w:rFonts w:ascii="Arial" w:cs="Arial" w:eastAsia="Arial" w:hAnsi="Arial"/>
          <w:sz w:val="18"/>
          <w:szCs w:val="18"/>
          <w:color w:val="auto"/>
        </w:rPr>
      </w:pPr>
    </w:p>
    <w:p>
      <w:pPr>
        <w:ind w:right="40" w:firstLine="921"/>
        <w:spacing w:after="0" w:line="277" w:lineRule="auto"/>
        <w:tabs>
          <w:tab w:leader="none" w:pos="113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No Notification Event exists, except for such events that either individually or in the aggregate could not reasonably be expected to result in a Material Adverse Effect.</w:t>
      </w:r>
    </w:p>
    <w:p>
      <w:pPr>
        <w:spacing w:after="0" w:line="62" w:lineRule="exact"/>
        <w:rPr>
          <w:rFonts w:ascii="Arial" w:cs="Arial" w:eastAsia="Arial" w:hAnsi="Arial"/>
          <w:sz w:val="18"/>
          <w:szCs w:val="18"/>
          <w:color w:val="auto"/>
        </w:rPr>
      </w:pPr>
    </w:p>
    <w:p>
      <w:pPr>
        <w:ind w:right="260" w:firstLine="921"/>
        <w:spacing w:after="0" w:line="277" w:lineRule="auto"/>
        <w:tabs>
          <w:tab w:leader="none" w:pos="116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As of the Closing Date, no Canadian Loan Party maintains, sponsors or contributes to any Canadian Pension Plan nor has any liabilities or obligations in respect of a Canadian Pension Plan that has been terminated or wound up.</w:t>
      </w:r>
    </w:p>
    <w:p>
      <w:pPr>
        <w:spacing w:after="0" w:line="62" w:lineRule="exact"/>
        <w:rPr>
          <w:rFonts w:ascii="Arial" w:cs="Arial" w:eastAsia="Arial" w:hAnsi="Arial"/>
          <w:sz w:val="18"/>
          <w:szCs w:val="18"/>
          <w:color w:val="auto"/>
        </w:rPr>
      </w:pPr>
    </w:p>
    <w:p>
      <w:pPr>
        <w:ind w:right="320" w:firstLine="921"/>
        <w:spacing w:after="0" w:line="291" w:lineRule="auto"/>
        <w:tabs>
          <w:tab w:leader="none" w:pos="116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No UK Loan Party: (i) is or has at any time been an employer (as defined for the purposes of sections 38 to 51 of the Pensions Act 2004 (UK)) of an occupational pension scheme that which is not a money purchase scheme (both terms as defined in the Pensions Scheme Act 1993 (UK))), or</w:t>
      </w:r>
    </w:p>
    <w:p>
      <w:pPr>
        <w:ind w:right="280" w:firstLine="8"/>
        <w:spacing w:after="0" w:line="261" w:lineRule="auto"/>
        <w:tabs>
          <w:tab w:leader="none" w:pos="2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is or has at any time been “connected” with or an “associate” (as those terms are used in sections 38 and 43 of the Pensions Act 2004 (UK)) of such an employer.</w:t>
      </w:r>
    </w:p>
    <w:p>
      <w:pPr>
        <w:spacing w:after="0" w:line="75" w:lineRule="exact"/>
        <w:rPr>
          <w:rFonts w:ascii="Arial" w:cs="Arial" w:eastAsia="Arial" w:hAnsi="Arial"/>
          <w:sz w:val="18"/>
          <w:szCs w:val="18"/>
          <w:color w:val="auto"/>
        </w:rPr>
      </w:pPr>
    </w:p>
    <w:p>
      <w:pPr>
        <w:ind w:left="1140" w:hanging="219"/>
        <w:spacing w:after="0"/>
        <w:tabs>
          <w:tab w:leader="none" w:pos="114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No UK Loan Party or has been issued with a Financial Support Direction or Contribution Notice in respect of any UK defined benefit pension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99"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u w:val="single" w:color="auto"/>
          <w:color w:val="auto"/>
        </w:rPr>
        <w:t>Environmental Condition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4.11</w:t>
      </w:r>
      <w:r>
        <w:rPr>
          <w:rFonts w:ascii="Arial" w:cs="Arial" w:eastAsia="Arial" w:hAnsi="Arial"/>
          <w:sz w:val="17"/>
          <w:szCs w:val="17"/>
          <w:color w:val="auto"/>
        </w:rPr>
        <w:t xml:space="preserve"> to this Agreement, (a) to each Borrower’s knowledge, no Loan Party’s nor any of its Subsidiaries’ properties or assets has ever been used by a Loan Party, its Subsidiaries,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except where failure of any of foregoing matters to be true and correct could not reasonably be expected to have a Material Adverse Effect, (b) to each Borrower’s knowledge, no Loan Party’s nor any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274" w:right="259" w:bottom="1440" w:gutter="0" w:footer="0" w:header="0"/>
        </w:sectPr>
      </w:pPr>
    </w:p>
    <w:bookmarkStart w:id="172" w:name="page173"/>
    <w:bookmarkEnd w:id="17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Subsidiaries’ properties or assets has ever been designated or identified in any manner pursuant to any environmental protection statute as a Hazardous Materials disposal site requiring remedial action except where failure of any of foregoing matters to be true and correct could not reasonably be expected to have a Material Adverse Effect, (c) no Loan Party nor any of its Subsidiaries has received written notice that a Lien arising under any Environmental Law has attached to any revenues or to any Real Property owned or operated by a Loan Party or its Subsidiaries except where failure of any of foregoing matters to be true and correct could not reasonably be expected to have a Material Adverse Effect, and (d) no Loan Party nor any of its Subsidiaries nor any of their respective facilities or operations is subject to any outstanding written order, consent decree, or settlement agreement with any Person relating to any Environmental Law or Environmental Liability that, individually or in the aggregate, could reasonably be expected to result in a Material Adverse Effect.</w:t>
      </w:r>
    </w:p>
    <w:p>
      <w:pPr>
        <w:spacing w:after="0" w:line="55"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b w:val="1"/>
          <w:bCs w:val="1"/>
          <w:u w:val="single" w:color="auto"/>
          <w:color w:val="auto"/>
        </w:rPr>
        <w:t>Complete Disclosure</w:t>
      </w:r>
      <w:r>
        <w:rPr>
          <w:rFonts w:ascii="Arial" w:cs="Arial" w:eastAsia="Arial" w:hAnsi="Arial"/>
          <w:sz w:val="17"/>
          <w:szCs w:val="17"/>
          <w:color w:val="auto"/>
        </w:rPr>
        <w:t>. All factual information taken as a whole (other than forward-looking information and projections and information of a general economic nature and general information about the industry of any Loan Party or its Subsidiaries) furnished by or on behalf of a Loan Party or its Subsidiaries in writing to Agent or any Lender (including all information contained in the Schedules hereto or in the other Loan Documents) for purposes of or in connection with this Agreement or the other Loan Documents, and all other such factual information taken as a whole (other than forward-looking information and projections and information of a general economic nature and general information the industry of any Loan Party or its Subsidiaries) hereafter furnished by or on behalf of a Loan Party or its Subsidiaries in writing to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 The Projections delivered to Agent on March 15, 2018 represent, and as of the date on which any other Projections are delivered to Agent, such additional Projections represent, Borrowers’ commercially reasonable estimate, on the date such Projections are delivered, of the Loan 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commercially reasonable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w:t>
      </w:r>
    </w:p>
    <w:p>
      <w:pPr>
        <w:spacing w:after="0" w:line="7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u w:val="single" w:color="auto"/>
          <w:color w:val="auto"/>
        </w:rPr>
        <w:t>Patriot Act, Etc.</w:t>
      </w:r>
      <w:r>
        <w:rPr>
          <w:rFonts w:ascii="Arial" w:cs="Arial" w:eastAsia="Arial" w:hAnsi="Arial"/>
          <w:sz w:val="18"/>
          <w:szCs w:val="18"/>
          <w:color w:val="auto"/>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w:t>
      </w:r>
      <w:r>
        <w:rPr>
          <w:rFonts w:ascii="Arial" w:cs="Arial" w:eastAsia="Arial" w:hAnsi="Arial"/>
          <w:sz w:val="18"/>
          <w:szCs w:val="18"/>
          <w:u w:val="single" w:color="auto"/>
          <w:color w:val="auto"/>
        </w:rPr>
        <w:t>Patriot Act</w:t>
      </w:r>
      <w:r>
        <w:rPr>
          <w:rFonts w:ascii="Arial" w:cs="Arial" w:eastAsia="Arial" w:hAnsi="Arial"/>
          <w:sz w:val="18"/>
          <w:szCs w:val="18"/>
          <w:color w:val="auto"/>
        </w:rPr>
        <w:t>”) and all applicable Canadian Anti-Money Laundering &amp; Anti-Terrorism Legislation.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274" w:right="279" w:bottom="1440" w:gutter="0" w:footer="0" w:header="0"/>
        </w:sectPr>
      </w:pPr>
    </w:p>
    <w:bookmarkStart w:id="173" w:name="page174"/>
    <w:bookmarkEnd w:id="173"/>
    <w:p>
      <w:pPr>
        <w:ind w:right="240" w:firstLine="456"/>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4.14. </w:t>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xml:space="preserve"> to this Agreement is a true and complete list of all Indebtedness of each Loan Party and each of its Subsidiaries outstanding immediately prior to the Closing Date (other than unsecured Permitted Indebtedness outstanding immediately prior to the Closing Date with respect to any one transaction or a series of related transactions in an amount not to exceed $10,000,000 and Permitted Purchase Money Indebtedness) that is to remain outstanding immediately after giving effect to the closing hereunder on the Closing Date and such Schedule accurately sets forth the aggregate principal amount of such Indebtedness as of the Closing Date.</w:t>
      </w:r>
    </w:p>
    <w:p>
      <w:pPr>
        <w:spacing w:after="0" w:line="6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b w:val="1"/>
          <w:bCs w:val="1"/>
          <w:u w:val="single" w:color="auto"/>
          <w:color w:val="auto"/>
        </w:rPr>
        <w:t>Payment of Taxes</w:t>
      </w:r>
      <w:r>
        <w:rPr>
          <w:rFonts w:ascii="Arial" w:cs="Arial" w:eastAsia="Arial" w:hAnsi="Arial"/>
          <w:sz w:val="17"/>
          <w:szCs w:val="17"/>
          <w:color w:val="auto"/>
        </w:rPr>
        <w:t xml:space="preserve">. Except as otherwise permitted under </w:t>
      </w:r>
      <w:r>
        <w:rPr>
          <w:rFonts w:ascii="Arial" w:cs="Arial" w:eastAsia="Arial" w:hAnsi="Arial"/>
          <w:sz w:val="17"/>
          <w:szCs w:val="17"/>
          <w:u w:val="single" w:color="auto"/>
          <w:color w:val="auto"/>
        </w:rPr>
        <w:t>Section 5.5</w:t>
      </w:r>
      <w:r>
        <w:rPr>
          <w:rFonts w:ascii="Arial" w:cs="Arial" w:eastAsia="Arial" w:hAnsi="Arial"/>
          <w:sz w:val="17"/>
          <w:szCs w:val="17"/>
          <w:color w:val="auto"/>
        </w:rPr>
        <w:t>, all US and Canadian federal, provincial, state (as applicable) and all other material Tax returns and reports of each Loan Party and its Subsidiaries required to be filed by any of them have been timely filed (subject to extensions granted for filing same), and all Taxes shown on such Tax returns to be due and payable and all other Taxes upon a Loan Party and its Subsidiaries and upon their respective assets, income, businesses and franchises that are due and payable have been paid when due and payable. Each Loan Party and each of its Subsidiaries have made adequate provision taken as a whole in accordance with GAAP for all Taxes not yet due and payable. No Borrower knows of any proposed Tax assessment against a Loan Party or any of its Subsidiaries that is not being actively contested by such Loan Party or such Subsidiary diligently, in good faith, and by appropriate proceedings.</w:t>
      </w:r>
    </w:p>
    <w:p>
      <w:pPr>
        <w:spacing w:after="0" w:line="64"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b w:val="1"/>
          <w:bCs w:val="1"/>
          <w:u w:val="single" w:color="auto"/>
          <w:color w:val="auto"/>
        </w:rPr>
        <w:t>Margin Stock</w:t>
      </w:r>
      <w:r>
        <w:rPr>
          <w:rFonts w:ascii="Arial" w:cs="Arial" w:eastAsia="Arial" w:hAnsi="Arial"/>
          <w:sz w:val="18"/>
          <w:szCs w:val="18"/>
          <w:color w:val="auto"/>
        </w:rPr>
        <w:t>. Neither any Loan Party nor any of its Subsidiaries is engaged principally, or as one of its important activities, in the business of extending credit for the purpose of purchasing or carrying any Margin Stock. No part of the proceeds of the Loans made by the Lender Group to Borrowers will be used to purchase or carry any Margin Stock or to extend credit to others for the purpose of purchasing or carrying any Margin Stock or for any purpose that violates the provisions of Regulation T, U or X of the Board of Governors.</w:t>
      </w:r>
    </w:p>
    <w:p>
      <w:pPr>
        <w:spacing w:after="0" w:line="7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b w:val="1"/>
          <w:bCs w:val="1"/>
          <w:u w:val="single" w:color="auto"/>
          <w:color w:val="auto"/>
        </w:rPr>
        <w:t>Governmental Regulation</w:t>
      </w:r>
      <w:r>
        <w:rPr>
          <w:rFonts w:ascii="Arial" w:cs="Arial" w:eastAsia="Arial" w:hAnsi="Arial"/>
          <w:sz w:val="18"/>
          <w:szCs w:val="18"/>
          <w:color w:val="auto"/>
        </w:rPr>
        <w:t>. No Loan Party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7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b w:val="1"/>
          <w:bCs w:val="1"/>
          <w:u w:val="single" w:color="auto"/>
          <w:color w:val="auto"/>
        </w:rPr>
        <w:t>OFAC; Sanctions; Anti-Corruption Laws; Anti-Money Laundering Laws</w:t>
      </w:r>
      <w:r>
        <w:rPr>
          <w:rFonts w:ascii="Arial" w:cs="Arial" w:eastAsia="Arial" w:hAnsi="Arial"/>
          <w:sz w:val="17"/>
          <w:szCs w:val="17"/>
          <w:color w:val="auto"/>
        </w:rPr>
        <w:t>. No Loan Party 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with all Sanctions, Anti-Corruption Laws and Anti-Money Laundering Laws. Each of the Loan Parties and its Subsidiaries, and to the knowledge of each such Loan Party, each director, officer, employee, agent and Affiliate of each such Loan Party and each such Subsidiary, is in compliance (i) with all Sanctions, and (ii) in all material</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270" w:right="259" w:bottom="1440" w:gutter="0" w:footer="0" w:header="0"/>
        </w:sectPr>
      </w:pPr>
    </w:p>
    <w:bookmarkStart w:id="174" w:name="page175"/>
    <w:bookmarkEnd w:id="17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respects, with all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w:t>
      </w:r>
    </w:p>
    <w:p>
      <w:pPr>
        <w:spacing w:after="0" w:line="7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b w:val="1"/>
          <w:bCs w:val="1"/>
          <w:u w:val="single" w:color="auto"/>
          <w:color w:val="auto"/>
        </w:rPr>
        <w:t>Employee and Labor Matters</w:t>
      </w:r>
      <w:r>
        <w:rPr>
          <w:rFonts w:ascii="Arial" w:cs="Arial" w:eastAsia="Arial" w:hAnsi="Arial"/>
          <w:sz w:val="16"/>
          <w:szCs w:val="16"/>
          <w:color w:val="auto"/>
        </w:rPr>
        <w:t>. There is (i) no unfair labor practice complaint pending or, to the knowledge of any Borrower, threatened against any Loan Party or its Subsidiaries before any Governmental Authority and no grievance or arbitration proceeding pending or threatened against any Loan Party or its Subsidiaries which arises out of or under any collective bargaining agreement, (ii) no strike, labor dispute, slowdown, stoppage or similar action or grievance pending or threatened in writing against any Loan Party or its Subsidiaries, or (iii) to the knowledge of any Borrower, after due inquiry, no union representation question existing with respect to the employees of any Loan Party or its Subsidiaries and no union organizing activity taking place with respect to any of the employees of any Loan Party or its Subsidiaries, that, in each case, could reasonably be expected to result in a Material Adverse Effect. None of any Loan Party or its Subsidiaries has incurred any liability or obligation under the Worker Adjustment and Retraining Notification Act or similar state or provincial or other applicable law, which remains unpaid or unsatisfied. The hours worked and payments made to employees of each Loan Party and its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any Loan Party or its Subsidiaries on account of wages and employee health and welfare insurance and other benefits have been paid or accrued as a liability on the books of Parent except where the failure to do so could not, individually or in the aggregate, reasonably be expected to result in a Material Adverse Effect.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Leases</w:t>
      </w:r>
      <w:r>
        <w:rPr>
          <w:rFonts w:ascii="Arial" w:cs="Arial" w:eastAsia="Arial" w:hAnsi="Arial"/>
          <w:sz w:val="18"/>
          <w:szCs w:val="18"/>
          <w:color w:val="auto"/>
        </w:rPr>
        <w:t>. Each Loan Party and its Subsidiaries enjoy undisturbed possession under all leases material to their business and to which they are parties or under which they are operating, and, subject to Permitted Protests, all of such material leases are valid and subsisting and no material default by the applicable Loan Party or its Subsidiaries exists under any of them, except for defaults that could not reasonably be expected to have a Material Adverse Effect.</w:t>
      </w:r>
    </w:p>
    <w:p>
      <w:pPr>
        <w:spacing w:after="0" w:line="72"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Eligible Accounts</w:t>
      </w:r>
      <w:r>
        <w:rPr>
          <w:rFonts w:ascii="Arial" w:cs="Arial" w:eastAsia="Arial" w:hAnsi="Arial"/>
          <w:sz w:val="18"/>
          <w:szCs w:val="18"/>
          <w:color w:val="auto"/>
        </w:rPr>
        <w:t>. As to each Account that is identified by Borrowers as an Eligible Account in a Borrowing Base Certificate submitted to Agent, such Account is (a) a bona fide existing payment obligation of the applicable Account Debtor created by the sale and delivery of Inventory or the rendition of services to such Account Debtor in the ordinary course of a Loan Party’s business, (b) owed to a Loan Party without any known defenses, disputes, offsets, counterclaims, or rights of return or cancellation, and (c) not excluded as ineligible by virtue of one or more of the excluding criteria (other than any Agent-discretionary criteria) set forth in the definition of Eligible Accounts.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274" w:right="239" w:bottom="1440" w:gutter="0" w:footer="0" w:header="0"/>
        </w:sectPr>
      </w:pPr>
    </w:p>
    <w:bookmarkStart w:id="175" w:name="page176"/>
    <w:bookmarkEnd w:id="175"/>
    <w:p>
      <w:pPr>
        <w:ind w:right="100"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4.23. </w:t>
      </w:r>
      <w:r>
        <w:rPr>
          <w:rFonts w:ascii="Arial" w:cs="Arial" w:eastAsia="Arial" w:hAnsi="Arial"/>
          <w:sz w:val="17"/>
          <w:szCs w:val="17"/>
          <w:b w:val="1"/>
          <w:bCs w:val="1"/>
          <w:u w:val="single" w:color="auto"/>
          <w:color w:val="auto"/>
        </w:rPr>
        <w:t>Eligible Inventory</w:t>
      </w:r>
      <w:r>
        <w:rPr>
          <w:rFonts w:ascii="Arial" w:cs="Arial" w:eastAsia="Arial" w:hAnsi="Arial"/>
          <w:sz w:val="17"/>
          <w:szCs w:val="17"/>
          <w:color w:val="auto"/>
        </w:rPr>
        <w:t>. As to each item of Inventory that is identified by Borrowers as Eligible Finished Goods Inventory in a Borrowing Base Certificate submitted to Agent, such Inventory is (a) of good and merchantable quality, free from known defects, and (b) not excluded as ineligible by virtue of one or more of the excluding criteria (other than any Agent-discretionary criteria) set forth in the definition of Eligible Inventory.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4.24.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Location of Inventory</w:t>
      </w:r>
      <w:r>
        <w:rPr>
          <w:rFonts w:ascii="Arial" w:cs="Arial" w:eastAsia="Arial" w:hAnsi="Arial"/>
          <w:sz w:val="18"/>
          <w:szCs w:val="18"/>
          <w:color w:val="auto"/>
        </w:rPr>
        <w:t xml:space="preserve">. The Inventory of Borrowers and their Subsidiaries is not stored with a bailee, warehouseman, or similar party and is located only at, or in-transit between, the locations identified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Schedule may be updated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68"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b w:val="1"/>
          <w:bCs w:val="1"/>
          <w:u w:val="single" w:color="auto"/>
          <w:color w:val="auto"/>
        </w:rPr>
        <w:t>Inventory Records</w:t>
      </w:r>
      <w:r>
        <w:rPr>
          <w:rFonts w:ascii="Arial" w:cs="Arial" w:eastAsia="Arial" w:hAnsi="Arial"/>
          <w:sz w:val="18"/>
          <w:szCs w:val="18"/>
          <w:color w:val="auto"/>
        </w:rPr>
        <w:t>. Each Loan Party keeps correct and accurate records itemizing and describing the type, quality, and quantity of its and its Subsidiaries’ Inventory and the book value thereof.</w:t>
      </w:r>
    </w:p>
    <w:p>
      <w:pPr>
        <w:spacing w:after="0" w:line="54"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b w:val="1"/>
          <w:bCs w:val="1"/>
          <w:u w:val="single" w:color="auto"/>
          <w:color w:val="auto"/>
        </w:rPr>
        <w:t>Hedge Agreements</w:t>
      </w:r>
      <w:r>
        <w:rPr>
          <w:rFonts w:ascii="Arial" w:cs="Arial" w:eastAsia="Arial" w:hAnsi="Arial"/>
          <w:sz w:val="18"/>
          <w:szCs w:val="18"/>
          <w:color w:val="auto"/>
        </w:rPr>
        <w:t>. On each date that any Hedge Agreement is executed by any Hedge Provider, Borrower and each other Loan Party satisfy all eligibility, suitability and other requirements under the Commodity Exchange Act (7 U.S.C. § 1, et seq., as in effect from time to time) and the Commodity Futures Trading Commission regulations.</w:t>
      </w:r>
    </w:p>
    <w:p>
      <w:pPr>
        <w:spacing w:after="0" w:line="6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4.28. </w:t>
      </w:r>
      <w:r>
        <w:rPr>
          <w:rFonts w:ascii="Arial" w:cs="Arial" w:eastAsia="Arial" w:hAnsi="Arial"/>
          <w:sz w:val="17"/>
          <w:szCs w:val="17"/>
          <w:b w:val="1"/>
          <w:bCs w:val="1"/>
          <w:u w:val="single" w:color="auto"/>
          <w:color w:val="auto"/>
        </w:rPr>
        <w:t>Material Contracts</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4.28</w:t>
      </w:r>
      <w:r>
        <w:rPr>
          <w:rFonts w:ascii="Arial" w:cs="Arial" w:eastAsia="Arial" w:hAnsi="Arial"/>
          <w:sz w:val="17"/>
          <w:szCs w:val="17"/>
          <w:color w:val="auto"/>
        </w:rPr>
        <w:t xml:space="preserve"> (as such Schedule may be updated from time to time in accordance herewith) is a reasonably detailed description of the Material Contracts of each Loan Party as of the most recent date on which Parent provided the Compliance Certificate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Borrowers may amend </w:t>
      </w:r>
      <w:r>
        <w:rPr>
          <w:rFonts w:ascii="Arial" w:cs="Arial" w:eastAsia="Arial" w:hAnsi="Arial"/>
          <w:sz w:val="17"/>
          <w:szCs w:val="17"/>
          <w:u w:val="single" w:color="auto"/>
          <w:color w:val="auto"/>
        </w:rPr>
        <w:t>Schedule 4.28</w:t>
      </w:r>
      <w:r>
        <w:rPr>
          <w:rFonts w:ascii="Arial" w:cs="Arial" w:eastAsia="Arial" w:hAnsi="Arial"/>
          <w:sz w:val="17"/>
          <w:szCs w:val="17"/>
          <w:color w:val="auto"/>
        </w:rPr>
        <w:t xml:space="preserve"> to add or delete Material Contracts so long as such amendment occurs by written notice to Agent on the date that Parent provides the Compliance Certificate. Except for matters which, either individually or in the aggregate, could not reasonably be expected to result in a Material Adverse Effect, each Material Contract (other than those that have expired at the end of their normal terms) (a) is in full force and effect and is binding upon and enforceable against the applicable Loan Party and, to each Borrower’s knowledge, each other Person that is a party thereto in accordance with its terms, (b) has not been otherwise amended or modified (other than amendments or modifications permitted by </w:t>
      </w:r>
      <w:r>
        <w:rPr>
          <w:rFonts w:ascii="Arial" w:cs="Arial" w:eastAsia="Arial" w:hAnsi="Arial"/>
          <w:sz w:val="17"/>
          <w:szCs w:val="17"/>
          <w:u w:val="single" w:color="auto"/>
          <w:color w:val="auto"/>
        </w:rPr>
        <w:t>Section 6.6(b)</w:t>
      </w:r>
      <w:r>
        <w:rPr>
          <w:rFonts w:ascii="Arial" w:cs="Arial" w:eastAsia="Arial" w:hAnsi="Arial"/>
          <w:sz w:val="17"/>
          <w:szCs w:val="17"/>
          <w:color w:val="auto"/>
        </w:rPr>
        <w:t>), and (c) is not in default due to the action or inaction of the applicable Loan Party.</w:t>
      </w:r>
    </w:p>
    <w:p>
      <w:pPr>
        <w:spacing w:after="0" w:line="64" w:lineRule="exact"/>
        <w:rPr>
          <w:sz w:val="20"/>
          <w:szCs w:val="20"/>
          <w:color w:val="auto"/>
        </w:rPr>
      </w:pPr>
    </w:p>
    <w:p>
      <w:pPr>
        <w:ind w:right="120" w:firstLine="456"/>
        <w:spacing w:after="0" w:line="313" w:lineRule="auto"/>
        <w:rPr>
          <w:sz w:val="20"/>
          <w:szCs w:val="20"/>
          <w:color w:val="auto"/>
        </w:rPr>
      </w:pPr>
      <w:r>
        <w:rPr>
          <w:rFonts w:ascii="Arial" w:cs="Arial" w:eastAsia="Arial" w:hAnsi="Arial"/>
          <w:sz w:val="17"/>
          <w:szCs w:val="17"/>
          <w:color w:val="auto"/>
        </w:rPr>
        <w:t xml:space="preserve">4.29. </w:t>
      </w:r>
      <w:r>
        <w:rPr>
          <w:rFonts w:ascii="Arial" w:cs="Arial" w:eastAsia="Arial" w:hAnsi="Arial"/>
          <w:sz w:val="17"/>
          <w:szCs w:val="17"/>
          <w:b w:val="1"/>
          <w:bCs w:val="1"/>
          <w:u w:val="single" w:color="auto"/>
          <w:color w:val="auto"/>
        </w:rPr>
        <w:t>Deduction of UK Tax</w:t>
      </w:r>
      <w:r>
        <w:rPr>
          <w:rFonts w:ascii="Arial" w:cs="Arial" w:eastAsia="Arial" w:hAnsi="Arial"/>
          <w:sz w:val="17"/>
          <w:szCs w:val="17"/>
          <w:color w:val="auto"/>
        </w:rPr>
        <w:t>. As at the Closing Date, no Loan Party who is a Loan Party on the Closing Date is required to make any deduction for or on account of Tax imposed by the United Kingdom from any payment it may make under any Loan Document to Agent or any Lender.</w:t>
      </w:r>
    </w:p>
    <w:p>
      <w:pPr>
        <w:spacing w:after="0" w:line="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color w:val="auto"/>
        </w:rPr>
        <w:t xml:space="preserve">4.30. </w:t>
      </w:r>
      <w:r>
        <w:rPr>
          <w:rFonts w:ascii="Arial" w:cs="Arial" w:eastAsia="Arial" w:hAnsi="Arial"/>
          <w:sz w:val="17"/>
          <w:szCs w:val="17"/>
          <w:b w:val="1"/>
          <w:bCs w:val="1"/>
          <w:u w:val="single" w:color="auto"/>
          <w:color w:val="auto"/>
        </w:rPr>
        <w:t>Centre of Main Interest</w:t>
      </w:r>
      <w:r>
        <w:rPr>
          <w:rFonts w:ascii="Arial" w:cs="Arial" w:eastAsia="Arial" w:hAnsi="Arial"/>
          <w:sz w:val="17"/>
          <w:szCs w:val="17"/>
          <w:color w:val="auto"/>
        </w:rPr>
        <w:t>. For the purposes of the Insolvency Regulation, the “centre of main interests” (as that term is used in Article 3(1) therein) of each UK Loan Party organized or incorporated in a jurisdiction to which the Insolvency Regulation applies is situated in its respective jurisdiction of organization or incorporation and it has no “establishment” (as that term is used in Article 2(h) therein) in any other jurisdiction.</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40" w:top="270" w:right="299" w:bottom="1440" w:gutter="0" w:footer="0" w:header="0"/>
        </w:sectPr>
      </w:pPr>
    </w:p>
    <w:bookmarkStart w:id="176" w:name="page177"/>
    <w:bookmarkEnd w:id="1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4.31. </w:t>
      </w:r>
      <w:r>
        <w:rPr>
          <w:rFonts w:ascii="Arial" w:cs="Arial" w:eastAsia="Arial" w:hAnsi="Arial"/>
          <w:sz w:val="18"/>
          <w:szCs w:val="18"/>
          <w:b w:val="1"/>
          <w:bCs w:val="1"/>
          <w:u w:val="single" w:color="auto"/>
          <w:color w:val="auto"/>
        </w:rPr>
        <w:t>Ranking</w:t>
      </w:r>
      <w:r>
        <w:rPr>
          <w:rFonts w:ascii="Arial" w:cs="Arial" w:eastAsia="Arial" w:hAnsi="Arial"/>
          <w:sz w:val="18"/>
          <w:szCs w:val="18"/>
          <w:color w:val="auto"/>
        </w:rPr>
        <w:t>.</w:t>
      </w:r>
    </w:p>
    <w:p>
      <w:pPr>
        <w:spacing w:after="0" w:line="121" w:lineRule="exact"/>
        <w:rPr>
          <w:sz w:val="20"/>
          <w:szCs w:val="20"/>
          <w:color w:val="auto"/>
        </w:rPr>
      </w:pPr>
    </w:p>
    <w:p>
      <w:pPr>
        <w:ind w:right="340" w:firstLine="921"/>
        <w:spacing w:after="0" w:line="277" w:lineRule="auto"/>
        <w:tabs>
          <w:tab w:leader="none" w:pos="115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Subject to Permitted Liens, each UK Security Document has or will have the ranking in priority which it is expressed to have in such UK Security Document and it is not subject to any prior ranking or pari passu ranking Liens.</w:t>
      </w:r>
    </w:p>
    <w:p>
      <w:pPr>
        <w:spacing w:after="0" w:line="62" w:lineRule="exact"/>
        <w:rPr>
          <w:rFonts w:ascii="Arial" w:cs="Arial" w:eastAsia="Arial" w:hAnsi="Arial"/>
          <w:sz w:val="18"/>
          <w:szCs w:val="18"/>
          <w:color w:val="auto"/>
        </w:rPr>
      </w:pPr>
    </w:p>
    <w:p>
      <w:pPr>
        <w:ind w:right="80" w:firstLine="921"/>
        <w:spacing w:after="0" w:line="308" w:lineRule="auto"/>
        <w:tabs>
          <w:tab w:leader="none" w:pos="116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Each UK Loan Party’s payment obligations under the Loan Documents to which it is a party rank at least pari passu with the claims of all its other unsecured and unsubordinated creditors, except for obligations mandatorily preferred by law applying to companies generally.</w:t>
      </w:r>
    </w:p>
    <w:p>
      <w:pPr>
        <w:spacing w:after="0" w:line="3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b w:val="1"/>
          <w:bCs w:val="1"/>
          <w:u w:val="single" w:color="auto"/>
          <w:color w:val="auto"/>
        </w:rPr>
        <w:t>Immaterial 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4.32</w:t>
      </w:r>
      <w:r>
        <w:rPr>
          <w:rFonts w:ascii="Arial" w:cs="Arial" w:eastAsia="Arial" w:hAnsi="Arial"/>
          <w:sz w:val="18"/>
          <w:szCs w:val="18"/>
          <w:color w:val="auto"/>
        </w:rPr>
        <w:t xml:space="preserve"> (as such Schedule may be updated from time to time in accordance herewith) is a list of Immaterial Subsidiaries as of the most recent date on which Parent provided the Compliance Certificate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Borrowers may amend </w:t>
      </w:r>
      <w:r>
        <w:rPr>
          <w:rFonts w:ascii="Arial" w:cs="Arial" w:eastAsia="Arial" w:hAnsi="Arial"/>
          <w:sz w:val="18"/>
          <w:szCs w:val="18"/>
          <w:u w:val="single" w:color="auto"/>
          <w:color w:val="auto"/>
        </w:rPr>
        <w:t>Schedule 4.32</w:t>
      </w:r>
      <w:r>
        <w:rPr>
          <w:rFonts w:ascii="Arial" w:cs="Arial" w:eastAsia="Arial" w:hAnsi="Arial"/>
          <w:sz w:val="18"/>
          <w:szCs w:val="18"/>
          <w:color w:val="auto"/>
        </w:rPr>
        <w:t xml:space="preserve"> to add or delete Immaterial Subsidiaries so long as such amendment occurs by written notice to Agent on the date that Parent provides the Compliance Certificate. Each Immaterial Subsidiary, and the Immaterial Subsidiaries taken as a whole, comply with the requirements set forth in the definition of “Immaterial Subsidiary”.</w:t>
      </w:r>
    </w:p>
    <w:p>
      <w:pPr>
        <w:spacing w:after="0" w:line="184" w:lineRule="exact"/>
        <w:rPr>
          <w:sz w:val="20"/>
          <w:szCs w:val="20"/>
          <w:color w:val="auto"/>
        </w:rPr>
      </w:pPr>
    </w:p>
    <w:p>
      <w:pPr>
        <w:ind w:left="180" w:hanging="172"/>
        <w:spacing w:after="0"/>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AFFIRMATIVE COVENANTS.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of Parent and each Borrower covenants and agrees that, until the termination of all of the Commitments and payment in full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Financial Statements, Reports, Certificates</w:t>
      </w:r>
      <w:r>
        <w:rPr>
          <w:rFonts w:ascii="Arial" w:cs="Arial" w:eastAsia="Arial" w:hAnsi="Arial"/>
          <w:sz w:val="18"/>
          <w:szCs w:val="18"/>
          <w:color w:val="auto"/>
        </w:rPr>
        <w:t xml:space="preserve">. Borrowers (a) will deliver to Agent, with copies to each Lender, each of the financial statements, reports, and other items set forth on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 no later than the times specified therein, (b) agree that no Subsidiary of a Loan Party will have a fiscal year different from that of Parent, (c) agree to maintain a system of accounting that enables Borrowers to produce financial statements in accordance with GAAP, and (d) agree that they will, and will cause each other Loan Party to, (i) keep a reporting system that shows all additions, sales, claims, returns, and allowances with respect to their and their Subsidiaries’ sales, and (ii) maintain their billing systems and practices substantially as in effect as of the Closing Date and shall only make material modifications thereto with notice to, and with the consent of, Agent (such consent not to be unreasonably withheld, delayed or conditioned).</w:t>
      </w:r>
    </w:p>
    <w:p>
      <w:pPr>
        <w:spacing w:after="0" w:line="81"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Reporting</w:t>
      </w:r>
      <w:r>
        <w:rPr>
          <w:rFonts w:ascii="Arial" w:cs="Arial" w:eastAsia="Arial" w:hAnsi="Arial"/>
          <w:sz w:val="16"/>
          <w:szCs w:val="16"/>
          <w:color w:val="auto"/>
        </w:rPr>
        <w:t xml:space="preserve">. Borrowers (a) will deliver to Agent (and if so requested by Agent, with copies for each Lender) each of the reports set forth on </w:t>
      </w:r>
      <w:r>
        <w:rPr>
          <w:rFonts w:ascii="Arial" w:cs="Arial" w:eastAsia="Arial" w:hAnsi="Arial"/>
          <w:sz w:val="16"/>
          <w:szCs w:val="16"/>
          <w:u w:val="single" w:color="auto"/>
          <w:color w:val="auto"/>
        </w:rPr>
        <w:t>Schedule 5.2</w:t>
      </w:r>
      <w:r>
        <w:rPr>
          <w:rFonts w:ascii="Arial" w:cs="Arial" w:eastAsia="Arial" w:hAnsi="Arial"/>
          <w:sz w:val="16"/>
          <w:szCs w:val="16"/>
          <w:color w:val="auto"/>
        </w:rPr>
        <w:t xml:space="preserve"> to this Agreement at the times specified therein, and (b) agree to use commercially reasonable efforts in cooperation with Agent to facilitate and implement a system of electronic collateral reporting in order to provide electronic reporting of each of the items set forth on such Schedule.</w:t>
      </w:r>
    </w:p>
    <w:p>
      <w:pPr>
        <w:spacing w:after="0" w:line="34"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Existence</w:t>
      </w:r>
      <w:r>
        <w:rPr>
          <w:rFonts w:ascii="Arial" w:cs="Arial" w:eastAsia="Arial" w:hAnsi="Arial"/>
          <w:sz w:val="17"/>
          <w:szCs w:val="17"/>
          <w:color w:val="auto"/>
        </w:rPr>
        <w:t xml:space="preserve">. Except as otherwise permitted under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6.4</w:t>
      </w:r>
      <w:r>
        <w:rPr>
          <w:rFonts w:ascii="Arial" w:cs="Arial" w:eastAsia="Arial" w:hAnsi="Arial"/>
          <w:sz w:val="17"/>
          <w:szCs w:val="17"/>
          <w:color w:val="auto"/>
        </w:rPr>
        <w:t>, each Loan Party will, and will cause each of its Subsidiaries to, at all times preserve and keep in full force and effect such Person’s valid existence and good standing in its jurisdiction of organization and, except as could not reasonably be expected to result in a Material Adverse Effect, good standing with respect to all other jurisdictions in which it is qualified to do business and any rights, franchises, permits, licenses, accreditations, authorizations, or other approvals material to their businesses.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270" w:right="279" w:bottom="1440" w:gutter="0" w:footer="0" w:header="0"/>
        </w:sectPr>
      </w:pPr>
    </w:p>
    <w:bookmarkStart w:id="177" w:name="page178"/>
    <w:bookmarkEnd w:id="177"/>
    <w:p>
      <w:pPr>
        <w:ind w:right="12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8"/>
          <w:szCs w:val="18"/>
          <w:b w:val="1"/>
          <w:bCs w:val="1"/>
          <w:u w:val="single" w:color="auto"/>
          <w:color w:val="auto"/>
        </w:rPr>
        <w:t>Maintenance of Properties</w:t>
      </w:r>
      <w:r>
        <w:rPr>
          <w:rFonts w:ascii="Arial" w:cs="Arial" w:eastAsia="Arial" w:hAnsi="Arial"/>
          <w:sz w:val="18"/>
          <w:szCs w:val="18"/>
          <w:color w:val="auto"/>
        </w:rPr>
        <w:t>. Each Loan Party will, and will cause each of its Subsidiaries to, maintain and preserve all of its assets that are necessary or useful in the proper conduct of its business in good working order and condition, ordinary wear, tear, casualty, and condemnation and Permitted Dispositions excepted (and except where the failure to so maintain and preserve assets could not reasonably be expected to result in a Material Adverse Effect).</w:t>
      </w:r>
    </w:p>
    <w:p>
      <w:pPr>
        <w:spacing w:after="0" w:line="72"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Each Loan Party will, and will cause each of its Subsidiaries to, pay in full before delinquency or before the expiration of any extension period all material Taxes imposed, levied, or assessed against it, or any of its assets or in respect of any of its income, businesses, capital, or franchises, other than to the extent that the validity of such Tax is the subject of a Permitted Protest.</w:t>
      </w:r>
    </w:p>
    <w:p>
      <w:pPr>
        <w:spacing w:after="0" w:line="6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xml:space="preserve">. Each Loan Party will, and will cause each of its Subsidiaries to, at Borrowers’ expense, maintain insurance respecting each of each Loan Party’s and its Subsidiaries’ assets wherever located, covering liabilities, losses or damages as are customarily are insured against by other Persons engaged in same or similar businesses and similarly situated and located, together with flood insurance coverage reasonably acceptable to Agent with respect to any Real Property Collateral located in a flood zone; provided that the Loan Parties may self-insure to the extent and in a manner customary for similarly situated companies of like size, type and financial condition that are part of a group of companies under common control. All such policies of insurance shall be with financially sound and reputable insurance companies acceptable to Agent (it being agreed that, as of the Closing Date, Factory Mutual Insurance Company is acceptable to Agent)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Borrowers in effect as of the Closing Date are acceptable to Agent). All property insurance policies are to be made payable to Agent for the benefit of Agent and the Lenders, as their interests may appear, in case of loss, pursuant to a standard lender’s loss payable endorsement with a standard non-contributory “lender” or “secured party” clause and are to contain such other provisions as Agent may reasonably require to protect the Lenders’ interest in the Collateral and to any payments to be made under such policies. All certificates of property and general liability insurance are to be delivered to Agent, with the lender’s loss payable and additional insured endorsements in favor of Agent and shall, if customarily provided by such insurance carrier, provide notice in accordance with the terms of the applicable insurance policies with respect to the cancellation of such policies. If any Loan Party or its Subsidiaries fails to maintain such insurance, Agent may arrange for such insurance, but at Borrowers’ expense and without any responsibility on Agent’s part for obtaining the insurance, the solvency of the insurance companies, the adequacy of the coverage, or the collection of claims. Any such insurance arranged for by Agent shall be cancelled upon the Loan Parties’ obtaining the insurance required to be obtained and maintained in accordance with this </w:t>
      </w:r>
      <w:r>
        <w:rPr>
          <w:rFonts w:ascii="Arial" w:cs="Arial" w:eastAsia="Arial" w:hAnsi="Arial"/>
          <w:sz w:val="16"/>
          <w:szCs w:val="16"/>
          <w:u w:val="single" w:color="auto"/>
          <w:color w:val="auto"/>
        </w:rPr>
        <w:t>Section 5.6</w:t>
      </w:r>
      <w:r>
        <w:rPr>
          <w:rFonts w:ascii="Arial" w:cs="Arial" w:eastAsia="Arial" w:hAnsi="Arial"/>
          <w:sz w:val="16"/>
          <w:szCs w:val="16"/>
          <w:color w:val="auto"/>
        </w:rPr>
        <w:t>. Borrowers shall give Agent prompt notice of any loss exceeding $10,000,000 covered by the casualty or business interruption insurance of any Loan Party or its Subsidiaries. Upon the occurrence and during the continuance of an Event of Default, Agent shall have the sole right to file claims under any property and general liability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270" w:right="239" w:bottom="1440" w:gutter="0" w:footer="0" w:header="0"/>
        </w:sectPr>
      </w:pPr>
    </w:p>
    <w:bookmarkStart w:id="178" w:name="page179"/>
    <w:bookmarkEnd w:id="178"/>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Inspection</w:t>
      </w:r>
      <w:r>
        <w:rPr>
          <w:rFonts w:ascii="Arial" w:cs="Arial" w:eastAsia="Arial" w:hAnsi="Arial"/>
          <w:sz w:val="18"/>
          <w:szCs w:val="18"/>
          <w:color w:val="auto"/>
        </w:rPr>
        <w:t>.</w:t>
      </w:r>
    </w:p>
    <w:p>
      <w:pPr>
        <w:spacing w:after="0" w:line="121" w:lineRule="exact"/>
        <w:rPr>
          <w:sz w:val="20"/>
          <w:szCs w:val="20"/>
          <w:color w:val="auto"/>
        </w:rPr>
      </w:pPr>
    </w:p>
    <w:p>
      <w:pPr>
        <w:ind w:right="40" w:firstLine="921"/>
        <w:spacing w:after="0" w:line="273" w:lineRule="auto"/>
        <w:tabs>
          <w:tab w:leader="none" w:pos="115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Each Loan Party will, and will cause each of its Subsidiaries to,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senior management (provided, that an authorized representative of a Borrower shall be allowed to be present) at such reasonable times and intervals as Agent may designate and, so long as no Event of Default has occurred and is continuing, with reasonable prior notice to Borrowers and during regular business hours, at Borrowers’ expense in accordance with the provisions of the Fee Letter, subject to the limitations set forth below in </w:t>
      </w:r>
      <w:r>
        <w:rPr>
          <w:rFonts w:ascii="Arial" w:cs="Arial" w:eastAsia="Arial" w:hAnsi="Arial"/>
          <w:sz w:val="17"/>
          <w:szCs w:val="17"/>
          <w:u w:val="single" w:color="auto"/>
          <w:color w:val="auto"/>
        </w:rPr>
        <w:t>Section 5.7(c)</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921"/>
        <w:spacing w:after="0" w:line="264" w:lineRule="auto"/>
        <w:tabs>
          <w:tab w:leader="none" w:pos="11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Each Loan Party will, and will cause each of its Subsidiaries to, permit Agent and each of its duly authorized representatives or agents to conduct field examinations, appraisals or valuations at such reasonable times and intervals as Agent may designate, at Borrowers’ expense in accordance with the provisions of the Fee Letter, subject to the limitations set forth below in </w:t>
      </w:r>
      <w:r>
        <w:rPr>
          <w:rFonts w:ascii="Arial" w:cs="Arial" w:eastAsia="Arial" w:hAnsi="Arial"/>
          <w:sz w:val="18"/>
          <w:szCs w:val="18"/>
          <w:u w:val="single" w:color="auto"/>
          <w:color w:val="auto"/>
        </w:rPr>
        <w:t>Section 5.7(c)</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0" w:firstLine="921"/>
        <w:spacing w:after="0" w:line="257" w:lineRule="auto"/>
        <w:tabs>
          <w:tab w:leader="none" w:pos="115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So long as no Event of Default shall be continuing during a calendar year, Borrowers shall not be obligated to reimburse Agent for more than one field examination in such calendar year (increasing to two field examinations if an Increased Reporting Event has occurred during such calendar year), and one inventory appraisal in such calendar year (increasing to two inventory appraisals if an Increased Reporting Event has occurred during such calendar year), in each case, except for field examinations and appraisals conducted prior to the Closing Date or in connection with a proposed Permitted Acquisition (whether or not consummated).</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neither the Borrowers nor any Subsidiary of the Borrowers will be required to disclose, permit the inspection, examination or making copies or abstracts of, or discussion of, any document, information or other matter (i) so long as no Event of Default shall be continuing (and thereafter, subject to the provisions of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hereof), that constitutes non-financial trade secrets, or non-financial proprietary information, not reasonably related to the actual or projected financial results of operation of the Borrowers nor any Subsidiary of the Borrowers, (ii) to the extent disclosure to the Agent (or their respective representatives or contractors) is prohibited by any requirement of law or court or regulatory order or any binding agreement not entered into for the purpose of avoiding disclosure to the Agent or (iii) that is subject to attorney-client or similar privilege or constitutes attorney work product.</w:t>
      </w:r>
    </w:p>
    <w:p>
      <w:pPr>
        <w:spacing w:after="0" w:line="7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Each Loan Party will, and will cause each of its Subsidiaries to,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Effect.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274" w:right="279" w:bottom="1440" w:gutter="0" w:footer="0" w:header="0"/>
        </w:sectPr>
      </w:pPr>
    </w:p>
    <w:bookmarkStart w:id="179" w:name="page180"/>
    <w:bookmarkEnd w:id="1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5.9. </w:t>
      </w:r>
      <w:r>
        <w:rPr>
          <w:rFonts w:ascii="Arial" w:cs="Arial" w:eastAsia="Arial" w:hAnsi="Arial"/>
          <w:sz w:val="18"/>
          <w:szCs w:val="18"/>
          <w:b w:val="1"/>
          <w:bCs w:val="1"/>
          <w:u w:val="single" w:color="auto"/>
          <w:color w:val="auto"/>
        </w:rPr>
        <w:t>Environmental</w:t>
      </w:r>
      <w:r>
        <w:rPr>
          <w:rFonts w:ascii="Arial" w:cs="Arial" w:eastAsia="Arial" w:hAnsi="Arial"/>
          <w:sz w:val="18"/>
          <w:szCs w:val="18"/>
          <w:color w:val="auto"/>
        </w:rPr>
        <w:t>. Each Loan Party will, and will cause each of its Subsidiaries to,</w:t>
      </w:r>
    </w:p>
    <w:p>
      <w:pPr>
        <w:spacing w:after="0" w:line="121" w:lineRule="exact"/>
        <w:rPr>
          <w:sz w:val="20"/>
          <w:szCs w:val="20"/>
          <w:color w:val="auto"/>
        </w:rPr>
      </w:pPr>
    </w:p>
    <w:p>
      <w:pPr>
        <w:ind w:right="280" w:firstLine="921"/>
        <w:spacing w:after="0" w:line="277" w:lineRule="auto"/>
        <w:tabs>
          <w:tab w:leader="none" w:pos="115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Keep any property either owned or operated by any Loan Party or its Subsidiaries free of any Environmental Liens or post bonds or other financial assurances sufficient to satisfy the obligations or liability evidenced by such Environmental Liens,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Comply, in all material respects, with Environmental Laws and provide to Agent documentation of such compliance which Agent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requests,</w:t>
      </w:r>
    </w:p>
    <w:p>
      <w:pPr>
        <w:spacing w:after="0" w:line="102" w:lineRule="exact"/>
        <w:rPr>
          <w:rFonts w:ascii="Arial" w:cs="Arial" w:eastAsia="Arial" w:hAnsi="Arial"/>
          <w:sz w:val="16"/>
          <w:szCs w:val="16"/>
          <w:color w:val="auto"/>
        </w:rPr>
      </w:pPr>
    </w:p>
    <w:p>
      <w:pPr>
        <w:ind w:right="280" w:firstLine="921"/>
        <w:spacing w:after="0" w:line="312" w:lineRule="auto"/>
        <w:tabs>
          <w:tab w:leader="none" w:pos="115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Promptly notify Agent of any release of which any Loan Party has knowledge of a Hazardous Material in any reportable quantity from or onto property owned or operated by any Loan Party or its Subsidiaries and take any Remedial Actions required to be taken by a Loan Party under Environmental Law abate said release or otherwise to come into compliance, in all material respects, with applicable Environmental Law, and</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Promptly, but in any event within five Business Days of its receipt thereof, provide Agent with written notice of any of the following:</w:t>
      </w:r>
    </w:p>
    <w:p>
      <w:pPr>
        <w:spacing w:after="0" w:line="34" w:lineRule="exact"/>
        <w:rPr>
          <w:rFonts w:ascii="Arial" w:cs="Arial" w:eastAsia="Arial" w:hAnsi="Arial"/>
          <w:sz w:val="17"/>
          <w:szCs w:val="17"/>
          <w:color w:val="auto"/>
        </w:rPr>
      </w:pPr>
    </w:p>
    <w:p>
      <w:pPr>
        <w:ind w:right="80" w:firstLine="8"/>
        <w:spacing w:after="0" w:line="277" w:lineRule="auto"/>
        <w:tabs>
          <w:tab w:leader="none" w:pos="21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written notice that an Environmental Lien has been filed against any of the real or personal property of a Loan Party or its Subsidiaries, (ii) written notice that an Environmental Action has or will be filed against a Loan Party or its Subsidiaries, and (iii) written notice of a violation, citation, or other administrative order from a Governmental Authority against a Loan Party or its Subsidiaries (other than Immaterial Subsidiaries).</w:t>
      </w:r>
    </w:p>
    <w:p>
      <w:pPr>
        <w:spacing w:after="0" w:line="6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Disclosure Updates</w:t>
      </w:r>
      <w:r>
        <w:rPr>
          <w:rFonts w:ascii="Arial" w:cs="Arial" w:eastAsia="Arial" w:hAnsi="Arial"/>
          <w:sz w:val="18"/>
          <w:szCs w:val="18"/>
          <w:color w:val="auto"/>
        </w:rPr>
        <w:t>. Each Loan Party will, promptly and in no event later than fifteen Business Days after obtaining knowledge thereof, 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Formation of Subsidiaries</w:t>
      </w:r>
      <w:r>
        <w:rPr>
          <w:rFonts w:ascii="Arial" w:cs="Arial" w:eastAsia="Arial" w:hAnsi="Arial"/>
          <w:sz w:val="18"/>
          <w:szCs w:val="18"/>
          <w:color w:val="auto"/>
        </w:rPr>
        <w:t>.</w:t>
      </w:r>
    </w:p>
    <w:p>
      <w:pPr>
        <w:spacing w:after="0" w:line="121" w:lineRule="exact"/>
        <w:rPr>
          <w:sz w:val="20"/>
          <w:szCs w:val="20"/>
          <w:color w:val="auto"/>
        </w:rPr>
      </w:pPr>
    </w:p>
    <w:p>
      <w:pPr>
        <w:ind w:right="80" w:firstLine="921"/>
        <w:spacing w:after="0" w:line="264" w:lineRule="auto"/>
        <w:tabs>
          <w:tab w:leader="none" w:pos="11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Loan Party will, at the time that any Loan Party forms any direct or indirect Subsidiary (other than an Immaterial Subsidiary), or acquires any direct or indirect Subsidiary (other than an Immaterial Subsidiary) after the Closing Date, within thirty days of such event (or such later date as permitted by Agent in its sole discretion):</w:t>
      </w:r>
    </w:p>
    <w:p>
      <w:pPr>
        <w:spacing w:after="0" w:line="73" w:lineRule="exact"/>
        <w:rPr>
          <w:rFonts w:ascii="Arial" w:cs="Arial" w:eastAsia="Arial" w:hAnsi="Arial"/>
          <w:sz w:val="18"/>
          <w:szCs w:val="18"/>
          <w:color w:val="auto"/>
        </w:rPr>
      </w:pPr>
    </w:p>
    <w:p>
      <w:pPr>
        <w:ind w:right="60" w:firstLine="1492"/>
        <w:spacing w:after="0" w:line="264" w:lineRule="auto"/>
        <w:tabs>
          <w:tab w:leader="none" w:pos="169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cause such new Subsidiary (A) if such Subsidiary is a Domestic Subsidiary or a Foreign Subsidiary organized under the laws of Canada or any province thereof or under the laws of Scotland or England and Wales, and Administrative Borrower requests, subject to the consent of Agent, that such Domestic Subsidiary be joined as a US Borrower or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40"/>
          </w:cols>
          <w:pgMar w:left="240" w:top="270" w:right="319" w:bottom="1440" w:gutter="0" w:footer="0" w:header="0"/>
        </w:sectPr>
      </w:pPr>
    </w:p>
    <w:bookmarkStart w:id="180" w:name="page181"/>
    <w:bookmarkEnd w:id="180"/>
    <w:p>
      <w:pPr>
        <w:ind w:right="2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Subsidiary be joined as a Canadian Borrower or UK Borrower hereunder, to provide to Agent a Joinder to this Agreement, and (B) to provide to Agent a joinder to the US Security Agreement (unless such Subsidiary is an Excluded Subsidiary), Canadian Security Documents and/or UK Security Documents, as applicable, and a guaranty of the Obligations (provided, that if such Subsidiary is an Excluded Subsidiary, such Subsidiary shall only be required to guaranty the Foreign Obligations), in each case, together with such other security agreements (including Mortgages with respect to any Real Property owned in fee of such new Subsidiary with a fair market value of greater than $12,500,000), as well as appropriate financing statements (and with respect to all property subject to a Mortgage, fixture filings), all in form and substance reasonably satisfactory to Agent (including being sufficient to grant Agent a first priority Lien (subject to Permitted Liens) in and to the assets of such newly formed or acquired Subsidiary);</w:t>
      </w:r>
    </w:p>
    <w:p>
      <w:pPr>
        <w:spacing w:after="0" w:line="59" w:lineRule="exact"/>
        <w:rPr>
          <w:sz w:val="20"/>
          <w:szCs w:val="20"/>
          <w:color w:val="auto"/>
        </w:rPr>
      </w:pPr>
    </w:p>
    <w:p>
      <w:pPr>
        <w:ind w:firstLine="1492"/>
        <w:spacing w:after="0" w:line="273" w:lineRule="auto"/>
        <w:tabs>
          <w:tab w:leader="none" w:pos="1748" w:val="left"/>
        </w:tabs>
        <w:numPr>
          <w:ilvl w:val="1"/>
          <w:numId w:val="202"/>
        </w:numPr>
        <w:rPr>
          <w:rFonts w:ascii="Arial" w:cs="Arial" w:eastAsia="Arial" w:hAnsi="Arial"/>
          <w:sz w:val="17"/>
          <w:szCs w:val="17"/>
          <w:color w:val="auto"/>
        </w:rPr>
      </w:pPr>
      <w:r>
        <w:rPr>
          <w:rFonts w:ascii="Arial" w:cs="Arial" w:eastAsia="Arial" w:hAnsi="Arial"/>
          <w:sz w:val="17"/>
          <w:szCs w:val="17"/>
          <w:color w:val="auto"/>
        </w:rPr>
        <w:t xml:space="preserve">provide, or cause the applicable Loan Party to provide, to Agent a pledge agreement (or an addendum to the applicable Security Agreement or the applicable UK Security Document) and appropriate certificates, transfer forms and powers or financing statements, pledging all of the direct or beneficial ownership interest in such new Subsidiary in form and substance reasonably satisfactory to Agent (which pledge, if reasonably requested by Agent, shall be governed by the laws of the jurisdiction of organization of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only 65% of the total outstanding voting Equity Interests of any first tier Excluded Subsidiary (and no Equity Interests of any other Excluded Subsidiary) shall be required to be pledged to secure the US Obligations (with no such restriction applying to security for the Foreign Obligations), and</w:t>
      </w:r>
    </w:p>
    <w:p>
      <w:pPr>
        <w:spacing w:after="0" w:line="70" w:lineRule="exact"/>
        <w:rPr>
          <w:rFonts w:ascii="Arial" w:cs="Arial" w:eastAsia="Arial" w:hAnsi="Arial"/>
          <w:sz w:val="17"/>
          <w:szCs w:val="17"/>
          <w:color w:val="auto"/>
        </w:rPr>
      </w:pPr>
    </w:p>
    <w:p>
      <w:pPr>
        <w:ind w:right="160" w:firstLine="1492"/>
        <w:spacing w:after="0" w:line="255" w:lineRule="auto"/>
        <w:tabs>
          <w:tab w:leader="none" w:pos="179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provide to Agent all other documentation, including the Governing Documents of such Subsidiary and one or more opinions of counsel reasonably satisfactory to Agent, which, in its opinion, is appropriate with respect to the execution and delivery of the applicable documentation referred to above (including policies of title insurance, flood certification documentation or other documentation with respect to all Real Property owned in fee and subject to a mortgage). For the avoidance of doubt, any Subsidiary joined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only be required to use commercially reasonable efforts to obtain any Collateral Access Agreement required by this Agreement, and failure to obtain such Collateral Access Agreements shall not constitute a Default or Event of Default.</w:t>
      </w:r>
    </w:p>
    <w:p>
      <w:pPr>
        <w:spacing w:after="0" w:line="85" w:lineRule="exact"/>
        <w:rPr>
          <w:rFonts w:ascii="Arial" w:cs="Arial" w:eastAsia="Arial" w:hAnsi="Arial"/>
          <w:sz w:val="18"/>
          <w:szCs w:val="18"/>
          <w:color w:val="auto"/>
        </w:rPr>
      </w:pPr>
    </w:p>
    <w:p>
      <w:pPr>
        <w:ind w:left="1180" w:hanging="259"/>
        <w:spacing w:after="0"/>
        <w:tabs>
          <w:tab w:leader="none" w:pos="11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Any document, agreement, or instrument executed or issued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constitute a Loan Document.</w:t>
      </w:r>
    </w:p>
    <w:p>
      <w:pPr>
        <w:spacing w:after="0" w:line="117" w:lineRule="exact"/>
        <w:rPr>
          <w:rFonts w:ascii="Arial" w:cs="Arial" w:eastAsia="Arial" w:hAnsi="Arial"/>
          <w:sz w:val="18"/>
          <w:szCs w:val="18"/>
          <w:color w:val="auto"/>
        </w:rPr>
      </w:pPr>
    </w:p>
    <w:p>
      <w:pPr>
        <w:ind w:firstLine="921"/>
        <w:spacing w:after="0" w:line="273" w:lineRule="auto"/>
        <w:tabs>
          <w:tab w:leader="none" w:pos="115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 the event (1) a Guarantor is no longer a Domestic Subsidiary other than an Immaterial Subsidiary or (2) a dissolution, sale or other disposition (including by way of merger or consolidation with a Person that is not a Loan Party) of all or substantially all of the assets or all of the Equity Interests of any Guarantor occurs and such sale or disposition is permitted by this Agreement (or permitted pursuant to a waiver, amendment, modification of or consent to a transaction otherwise prohibited by this Agreement), then, so long as no Event of Default has occurred and is continuing, the Agent shall, upon written request by the Borrowers, and at no cost to the Agent that is not reimbursed pursuant hereto, release such Guarantor from its liabilities and obligations under the Loan Documents pursuant to such documentation as the Borrowers may reasonably require.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274" w:right="239" w:bottom="1440" w:gutter="0" w:footer="0" w:header="0"/>
        </w:sectPr>
      </w:pPr>
    </w:p>
    <w:bookmarkStart w:id="181" w:name="page182"/>
    <w:bookmarkEnd w:id="181"/>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5.12.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xml:space="preserve"> . Each Loan Party will, and will cause each of the other Loan Parties to, at any time upon the reasonable request of Agent, execute or deliver to Agent any and all financing statements, fixture filings, security agreements, pledges, assignments, mortgages, deeds of trust, opinions of counsel, and all other documents (the “</w:t>
      </w:r>
      <w:r>
        <w:rPr>
          <w:rFonts w:ascii="Arial" w:cs="Arial" w:eastAsia="Arial" w:hAnsi="Arial"/>
          <w:sz w:val="16"/>
          <w:szCs w:val="16"/>
          <w:u w:val="single" w:color="auto"/>
          <w:color w:val="auto"/>
        </w:rPr>
        <w:t>Additional Documents</w:t>
      </w:r>
      <w:r>
        <w:rPr>
          <w:rFonts w:ascii="Arial" w:cs="Arial" w:eastAsia="Arial" w:hAnsi="Arial"/>
          <w:sz w:val="16"/>
          <w:szCs w:val="16"/>
          <w:color w:val="auto"/>
        </w:rPr>
        <w:t xml:space="preserve">”) that Agent may reasonably request in form and substance reasonably satisfactory to Agent, to create, perfect, and continue perfected or to better perfect Agent’s Liens in all of the assets of each of the Loan Parties (whether now owned or hereafter arising or acquired, tangible or intangible, real or personal) (other than Excluded Collateral or any other assets expressly excluded from the Collateral (as defined in the US Security Agreement) pursuant to Section 3 of the US Security Agreement), to create and perfect Liens in favor of Agent in any Real Property acquired by any other Loan Party with a fair market value in excess of $12,500,000, and in order to fully consummate all of the transactions contemplated hereby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apply, with respect to the US Obligations only, to any Excluded Subsidiary or, with respect to any Obligations, any Immaterial Subsidiary. To the maximum extent permitted by applicable law, if any Borrower or any other Loan Party refuses or fails to execute or deliver any reasonably requested Additional Documents within a reasonable period of time not to exceed 10 Business Days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(i) each US Loan Party shall take such actions as Agent may reasonably request from time to time to ensure that the Obligations are guaranteed by the US Guarantors and are secured by substantially all of the assets of the US Loan Parties, including all of the outstanding capital Equity Interests of each US Borrower and its Subsidiaries (in each case, other than with respect to any Excluded Collateral or any other assets expressly excluded from the Collateral (as defined in the US Security Agreement) pursuant to Section 3 of the US Security Agreement), and (ii) each Canadian Loan Party and each UK Loan Party shall take such actions as Agent may reasonably request from time to time to ensure that the Foreign Obligations are guaranteed by the Canadian Guarantors and the UK Guarantors and are secured by substantially all of the assets of the Canadian Loan Parties and the UK Loan Parties, including all of the outstanding capital Equity Interests of each Canadian Borrower, each UK Borrower and each of their Subsidiaries (in each case, other than with respect to any Excluded Collateral or other assets expressly excluded from the Collateral (as defined in the US Security Agreement) pursuant to Section 3 of the US Security Agreement or any applicable Canadian Security Document or UK Security Document).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b w:val="1"/>
          <w:bCs w:val="1"/>
          <w:u w:val="single" w:color="auto"/>
          <w:color w:val="auto"/>
        </w:rPr>
        <w:t>Location of Inventory; Chief Executive Office</w:t>
      </w:r>
      <w:r>
        <w:rPr>
          <w:rFonts w:ascii="Arial" w:cs="Arial" w:eastAsia="Arial" w:hAnsi="Arial"/>
          <w:sz w:val="17"/>
          <w:szCs w:val="17"/>
          <w:color w:val="auto"/>
        </w:rPr>
        <w:t xml:space="preserve">. Each Loan Party will keep (a) their Inventory (other than Inventory in transit or other Inventory at a location with a value of less than $200,000) only at the locations identified on </w:t>
      </w:r>
      <w:r>
        <w:rPr>
          <w:rFonts w:ascii="Arial" w:cs="Arial" w:eastAsia="Arial" w:hAnsi="Arial"/>
          <w:sz w:val="17"/>
          <w:szCs w:val="17"/>
          <w:u w:val="single" w:color="auto"/>
          <w:color w:val="auto"/>
        </w:rPr>
        <w:t>Schedule 4.25</w:t>
      </w:r>
      <w:r>
        <w:rPr>
          <w:rFonts w:ascii="Arial" w:cs="Arial" w:eastAsia="Arial" w:hAnsi="Arial"/>
          <w:sz w:val="17"/>
          <w:szCs w:val="17"/>
          <w:color w:val="auto"/>
        </w:rPr>
        <w:t xml:space="preserve"> to this Agreement (provided that Borrowers may amend </w:t>
      </w:r>
      <w:r>
        <w:rPr>
          <w:rFonts w:ascii="Arial" w:cs="Arial" w:eastAsia="Arial" w:hAnsi="Arial"/>
          <w:sz w:val="17"/>
          <w:szCs w:val="17"/>
          <w:u w:val="single" w:color="auto"/>
          <w:color w:val="auto"/>
        </w:rPr>
        <w:t>Schedule 4.25</w:t>
      </w:r>
      <w:r>
        <w:rPr>
          <w:rFonts w:ascii="Arial" w:cs="Arial" w:eastAsia="Arial" w:hAnsi="Arial"/>
          <w:sz w:val="17"/>
          <w:szCs w:val="17"/>
          <w:color w:val="auto"/>
        </w:rPr>
        <w:t xml:space="preserve"> to this Agreement so long as such new location is within the continental United States or Canada (or, in the case of any UK Loan Party, such new location is in the United Kingdom), and such amendment occurs by written notice to Agent (i) not less than ten days prior to the date on which such Inventory is moved to such new location in the case of any such new location within Canada, and (ii) not less than 30 days after the date on which such Inventory is moved to such new location in the case of any such new location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60"/>
          </w:cols>
          <w:pgMar w:left="240" w:top="270" w:right="299" w:bottom="1440" w:gutter="0" w:footer="0" w:header="0"/>
        </w:sectPr>
      </w:pPr>
    </w:p>
    <w:bookmarkStart w:id="182" w:name="page183"/>
    <w:bookmarkEnd w:id="182"/>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the United States or, in the case of any UK Loan Party, the United Kingdom, and (b) their respective chief executive offices (and, in the case of any Canadian Loan Party, its registered office) only at the locations identified on Schedule 7 to the applicable Security Agreement. Each Loan Party will use its commercially reasonable efforts to obtain Collateral Access Agreements for each of the locations identified on Schedule 7 to the applicable Security Agreement and </w:t>
      </w:r>
      <w:r>
        <w:rPr>
          <w:rFonts w:ascii="Arial" w:cs="Arial" w:eastAsia="Arial" w:hAnsi="Arial"/>
          <w:sz w:val="17"/>
          <w:szCs w:val="17"/>
          <w:u w:val="single" w:color="auto"/>
          <w:color w:val="auto"/>
        </w:rPr>
        <w:t>Schedule 4.25</w:t>
      </w:r>
      <w:r>
        <w:rPr>
          <w:rFonts w:ascii="Arial" w:cs="Arial" w:eastAsia="Arial" w:hAnsi="Arial"/>
          <w:sz w:val="17"/>
          <w:szCs w:val="17"/>
          <w:color w:val="auto"/>
        </w:rPr>
        <w:t xml:space="preserve"> to this Agreement, but failure to do so shall not constitute a Default or Event of Default.</w:t>
      </w:r>
    </w:p>
    <w:p>
      <w:pPr>
        <w:spacing w:after="0" w:line="59"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u w:val="single" w:color="auto"/>
          <w:color w:val="auto"/>
        </w:rPr>
        <w:t>OFAC; Sanctions; Anti-Corruption Laws; Anti-Money Laundering Laws</w:t>
      </w:r>
      <w:r>
        <w:rPr>
          <w:rFonts w:ascii="Arial" w:cs="Arial" w:eastAsia="Arial" w:hAnsi="Arial"/>
          <w:sz w:val="18"/>
          <w:szCs w:val="18"/>
          <w:color w:val="auto"/>
        </w:rPr>
        <w:t>. Each Loan Party will, and will cause each of its Subsidiaries to, comply (i) with all applicable Sanctions, and (ii) in all material respects, with all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w:t>
      </w:r>
    </w:p>
    <w:p>
      <w:pPr>
        <w:spacing w:after="0" w:line="7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u w:val="single" w:color="auto"/>
          <w:color w:val="auto"/>
        </w:rPr>
        <w:t>Bank Products</w:t>
      </w:r>
      <w:r>
        <w:rPr>
          <w:rFonts w:ascii="Arial" w:cs="Arial" w:eastAsia="Arial" w:hAnsi="Arial"/>
          <w:sz w:val="18"/>
          <w:szCs w:val="18"/>
          <w:color w:val="auto"/>
        </w:rPr>
        <w:t>. The Loan Parties shall maintain their primary United States depository and treasury management relationships with Wells Fargo or one or more of its Affiliates at all times during the term of the Agreement.</w:t>
      </w:r>
    </w:p>
    <w:p>
      <w:pPr>
        <w:spacing w:after="0" w:line="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b w:val="1"/>
          <w:bCs w:val="1"/>
          <w:u w:val="single" w:color="auto"/>
          <w:color w:val="auto"/>
        </w:rPr>
        <w:t>Canadian Compliance</w:t>
      </w:r>
      <w:r>
        <w:rPr>
          <w:rFonts w:ascii="Arial" w:cs="Arial" w:eastAsia="Arial" w:hAnsi="Arial"/>
          <w:sz w:val="16"/>
          <w:szCs w:val="16"/>
          <w:color w:val="auto"/>
        </w:rPr>
        <w:t>. Each Parent and each Borrower will, and will cause each of its Subsidiaries to, (a) comply with all applicable federal and provincial laws, including the Income Tax Act (Canada), with respect to any Canadian Pension Plans and the terms of any such Canadian Pension Plan except, in each case, where the failure to do so could not reasonably be expected to result in a Material Adverse Effect, (b) operate (within the limits set forth by applicable law) each Canadian Pension Plan in such a manner that will not incur any material liability under the Income Tax Act (Canada) or other applicable federal or provincial pension benefits legislation, except, in each case, where the failure to do so could not reasonably be expected to result in a Material Adverse Effect, and (c) furnish to Agent upon Agent’s reasonable written request such additional information about any Canadian Pension Plan for which Parents or their Subsidiaries could reasonably expect to incur any material liability. All employer or employee payments, contributions or premiums in an aggregate amount in excess of $250,000 required to be remitted or paid to in respect of Canadian statutory benefit plans that any Parent or any of their Subsidiaries is required to participate in or comply with, including the Canada Pension Plan or Quebec Pension Plan as maintained by the Government of Canada or Province of Quebec, respectively, and plans administered pursuant to applicable workplace safety insurance and employment insurance legislation will be paid or remitted by each such Person in accordance with the terms thereof, any agreements relating thereto and all applicable laws, except to the extent that any amount so payable is subject to a Permitted Protest and a Canadian Priority Payable Reserve for such amount, where applicable, has been established.</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w:t>
      </w:r>
    </w:p>
    <w:p>
      <w:pPr>
        <w:spacing w:after="0" w:line="121" w:lineRule="exact"/>
        <w:rPr>
          <w:sz w:val="20"/>
          <w:szCs w:val="20"/>
          <w:color w:val="auto"/>
        </w:rPr>
      </w:pPr>
    </w:p>
    <w:p>
      <w:pPr>
        <w:ind w:right="100" w:firstLine="921"/>
        <w:spacing w:after="0" w:line="264" w:lineRule="auto"/>
        <w:tabs>
          <w:tab w:leader="none" w:pos="115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Parent and each Borrower will maintain and operate, and cause each of its Subsidiaries to maintain and operate, each Employee Plan in accordance with all applicable laws except where the failure to maintain or operate such an Employee Plan in accordance with applicable law could not reasonably be expected to have a Material Adverse Effect. Each Parent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274" w:right="239" w:bottom="1440" w:gutter="0" w:footer="0" w:header="0"/>
        </w:sectPr>
      </w:pPr>
    </w:p>
    <w:bookmarkStart w:id="183" w:name="page184"/>
    <w:bookmarkEnd w:id="183"/>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each Borrower will notify Agent within ten Business Days of (i) the formation of, or undertaking the duty to make a contribution to, any Employee Plan (other than contributions to an Employee Plan made in the ordinary course of business or an Employee Plan in place as of the date of this Agreement), or</w:t>
      </w:r>
    </w:p>
    <w:p>
      <w:pPr>
        <w:ind w:right="480" w:firstLine="8"/>
        <w:spacing w:after="0" w:line="255" w:lineRule="auto"/>
        <w:tabs>
          <w:tab w:leader="none" w:pos="2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receipt of any written notice from any Governmental Authority that any Loan Party has liability for excise taxes, fines, penalties, or damages for breach of fiduciary duty with respect to any Employee Plan under ERISA or the IRC, except, in each case, where the liability could not reasonably be expected to result in a Material Adverse Effect.</w:t>
      </w:r>
    </w:p>
    <w:p>
      <w:pPr>
        <w:spacing w:after="0" w:line="82" w:lineRule="exact"/>
        <w:rPr>
          <w:rFonts w:ascii="Arial" w:cs="Arial" w:eastAsia="Arial" w:hAnsi="Arial"/>
          <w:sz w:val="18"/>
          <w:szCs w:val="18"/>
          <w:color w:val="auto"/>
        </w:rPr>
      </w:pPr>
    </w:p>
    <w:p>
      <w:pPr>
        <w:ind w:right="60" w:firstLine="921"/>
        <w:spacing w:after="0" w:line="284" w:lineRule="auto"/>
        <w:tabs>
          <w:tab w:leader="none" w:pos="1168" w:val="left"/>
        </w:tabs>
        <w:numPr>
          <w:ilvl w:val="1"/>
          <w:numId w:val="205"/>
        </w:numPr>
        <w:rPr>
          <w:rFonts w:ascii="Arial" w:cs="Arial" w:eastAsia="Arial" w:hAnsi="Arial"/>
          <w:sz w:val="16"/>
          <w:szCs w:val="16"/>
          <w:color w:val="auto"/>
        </w:rPr>
      </w:pPr>
      <w:r>
        <w:rPr>
          <w:rFonts w:ascii="Arial" w:cs="Arial" w:eastAsia="Arial" w:hAnsi="Arial"/>
          <w:sz w:val="16"/>
          <w:szCs w:val="16"/>
          <w:color w:val="auto"/>
        </w:rPr>
        <w:t>Each Loan Party shall (i) ensure that all pension schemes operated by or maintained for its benefit and/or any of the employees of any UK Loan Party are fully funded based on the statutory funding objective under sections 221 and 222 of the Pensions Act 2004 (UK) and that no action or omission is taken by any UK Loan Party in relation to such a pension scheme which has or is reasonably likely to have a Material Adverse Effect (including the termination or commencement of winding-up proceedings of any such pension scheme or a UK Loan Party ceasing to employ any member of such a pension scheme); (ii) deliver to the Agent (A) at such times as those reports are prepared in order to comply with the then current statutory or auditing requirements (as applicable either to the trustees of any relevant schemes or to any UK Loan Party) and (B) at any other time if the Agent reasonably believes that any relevant statutory or auditing requirements are not being complied with, actuarial reports in relation to all pension schemes mentioned in clause</w:t>
      </w:r>
    </w:p>
    <w:p>
      <w:pPr>
        <w:spacing w:after="0" w:line="2" w:lineRule="exact"/>
        <w:rPr>
          <w:rFonts w:ascii="Arial" w:cs="Arial" w:eastAsia="Arial" w:hAnsi="Arial"/>
          <w:sz w:val="16"/>
          <w:szCs w:val="16"/>
          <w:color w:val="auto"/>
        </w:rPr>
      </w:pPr>
    </w:p>
    <w:p>
      <w:pPr>
        <w:ind w:right="120" w:firstLine="8"/>
        <w:spacing w:after="0" w:line="261" w:lineRule="auto"/>
        <w:tabs>
          <w:tab w:leader="none" w:pos="2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above; and (iii) promptly notify the Agent of any material change in the rate of contributions to any pension scheme mentioned in clause (i) above paid or recommended to be paid (whether by the scheme actuary or otherwise) or required (by law or otherwise).</w:t>
      </w:r>
    </w:p>
    <w:p>
      <w:pPr>
        <w:spacing w:after="0" w:line="7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b w:val="1"/>
          <w:bCs w:val="1"/>
          <w:u w:val="single" w:color="auto"/>
          <w:color w:val="auto"/>
        </w:rPr>
        <w:t>Centre of Main Interests</w:t>
      </w:r>
      <w:r>
        <w:rPr>
          <w:rFonts w:ascii="Arial" w:cs="Arial" w:eastAsia="Arial" w:hAnsi="Arial"/>
          <w:sz w:val="18"/>
          <w:szCs w:val="18"/>
          <w:color w:val="auto"/>
        </w:rPr>
        <w:t>. Each UK Loan Party that is incorporated in a jurisdiction to which the Insolvency Regulation applies shall maintain its “centre of main interests” in its jurisdiction of incorporation for the purposes of the Insolvency Regulation.</w:t>
      </w:r>
    </w:p>
    <w:p>
      <w:pPr>
        <w:spacing w:after="0" w:line="5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People with Significant Control Regime</w:t>
      </w:r>
      <w:r>
        <w:rPr>
          <w:rFonts w:ascii="Arial" w:cs="Arial" w:eastAsia="Arial" w:hAnsi="Arial"/>
          <w:sz w:val="18"/>
          <w:szCs w:val="18"/>
          <w:color w:val="auto"/>
        </w:rPr>
        <w:t>. Each Loan Party shall (a) within the relevant timeframe, comply with any notice it receives pursuant to Part 21A of the Companies Act 2006 (UK) from any company incorporated in the UK whose shares are the subject of a Lien in favor of the Agent, and (b) promptly provide the Agent with a copy of that notice.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UK Loan Party Cash Management Provisions</w:t>
      </w:r>
      <w:r>
        <w:rPr>
          <w:rFonts w:ascii="Arial" w:cs="Arial" w:eastAsia="Arial" w:hAnsi="Arial"/>
          <w:sz w:val="18"/>
          <w:szCs w:val="18"/>
          <w:color w:val="auto"/>
        </w:rPr>
        <w:t>.</w:t>
      </w:r>
    </w:p>
    <w:p>
      <w:pPr>
        <w:spacing w:after="0" w:line="121" w:lineRule="exact"/>
        <w:rPr>
          <w:sz w:val="20"/>
          <w:szCs w:val="20"/>
          <w:color w:val="auto"/>
        </w:rPr>
      </w:pPr>
    </w:p>
    <w:p>
      <w:pPr>
        <w:ind w:right="280" w:firstLine="921"/>
        <w:spacing w:after="0" w:line="259" w:lineRule="auto"/>
        <w:tabs>
          <w:tab w:leader="none" w:pos="115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UK Loan Parties will ensure that all of the proceeds of their Accounts are deposited (whether directly or indirectly) into segregated Collection Accounts (which Collection Accounts shall be located in England or any other jurisdiction satisfactory to the Agent in its Permitted Discretion) only containing the proceeds of the Accounts of the UK Loan Parties, in a manner that is satisfactory to the Agent which Collection Accounts, for the avoidance of doubt, shall not be used for general payment purposes.</w:t>
      </w:r>
    </w:p>
    <w:p>
      <w:pPr>
        <w:spacing w:after="0" w:line="78" w:lineRule="exact"/>
        <w:rPr>
          <w:rFonts w:ascii="Arial" w:cs="Arial" w:eastAsia="Arial" w:hAnsi="Arial"/>
          <w:sz w:val="18"/>
          <w:szCs w:val="18"/>
          <w:color w:val="auto"/>
        </w:rPr>
      </w:pPr>
    </w:p>
    <w:p>
      <w:pPr>
        <w:ind w:right="520" w:firstLine="921"/>
        <w:spacing w:after="0" w:line="277" w:lineRule="auto"/>
        <w:tabs>
          <w:tab w:leader="none" w:pos="116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Agent shall be given sufficient access to each relevant Collection Account to ensure that the provisions of Section 2.4(b)(ii)(B) are capable of being complied 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274" w:right="239" w:bottom="1440" w:gutter="0" w:footer="0" w:header="0"/>
        </w:sectPr>
      </w:pPr>
    </w:p>
    <w:bookmarkStart w:id="184" w:name="page185"/>
    <w:bookmarkEnd w:id="184"/>
    <w:p>
      <w:pPr>
        <w:ind w:right="100" w:firstLine="921"/>
        <w:spacing w:after="0" w:line="277" w:lineRule="auto"/>
        <w:tabs>
          <w:tab w:leader="none" w:pos="1158"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UK Loan Parties will ensure that each of its Collection Accounts is subject to a Blocked Account Control Agreement or other equivalent arrangement with similar effect.</w:t>
      </w:r>
    </w:p>
    <w:p>
      <w:pPr>
        <w:spacing w:after="0" w:line="62" w:lineRule="exact"/>
        <w:rPr>
          <w:rFonts w:ascii="Arial" w:cs="Arial" w:eastAsia="Arial" w:hAnsi="Arial"/>
          <w:sz w:val="18"/>
          <w:szCs w:val="18"/>
          <w:color w:val="auto"/>
        </w:rPr>
      </w:pPr>
    </w:p>
    <w:p>
      <w:pPr>
        <w:jc w:val="both"/>
        <w:ind w:right="80" w:firstLine="921"/>
        <w:spacing w:after="0" w:line="259" w:lineRule="auto"/>
        <w:tabs>
          <w:tab w:leader="none" w:pos="116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such Blocked Account Control Agreement or equivalent arrangement entered into by UK Loan Party incorporated shall (i) provide the Agent with control over such account, with such control being sufficient to obtain a “fixed charge” and (ii) will require, at all times, that the only way funds may be withdrawn from any such Collection Account is by (or on the authorization or instruction of) the Agent in order to apply them in accordance with the provisions of Section 2.4(b)(ii)(B).</w:t>
      </w:r>
    </w:p>
    <w:p>
      <w:pPr>
        <w:spacing w:after="0" w:line="183" w:lineRule="exact"/>
        <w:rPr>
          <w:sz w:val="20"/>
          <w:szCs w:val="20"/>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NEGATIVE COVENANTS.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of Parent and each Borrower covenants and agrees that, until the termination of all of the Commitments and the payment in full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99"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Each Loan Party will not, and will not permit any of its Subsidiaries to, create, incur, assume, suffer to exist, guarantee, or otherwise become or remain, directly or indirectly, liable with respect to any Indebtedness, except for Permitted Indebtedness.</w:t>
      </w:r>
    </w:p>
    <w:p>
      <w:pPr>
        <w:spacing w:after="0" w:line="54"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Each Loan Party will not, and will not permit any of its Subsidiaries to, create, incur, assume, or suffer to exist, directly or indirectly, any Lien on or with respect to any of its assets, of any kind, whether now owned or hereafter acquired, or any income or profits therefrom, except for Permitted Liens.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Restrictions on Fundamental Changes</w:t>
      </w:r>
      <w:r>
        <w:rPr>
          <w:rFonts w:ascii="Arial" w:cs="Arial" w:eastAsia="Arial" w:hAnsi="Arial"/>
          <w:sz w:val="18"/>
          <w:szCs w:val="18"/>
          <w:color w:val="auto"/>
        </w:rPr>
        <w:t>. Each Loan Party will not, and will not permit any of its Subsidiaries to,</w:t>
      </w:r>
    </w:p>
    <w:p>
      <w:pPr>
        <w:spacing w:after="0" w:line="121" w:lineRule="exact"/>
        <w:rPr>
          <w:sz w:val="20"/>
          <w:szCs w:val="20"/>
          <w:color w:val="auto"/>
        </w:rPr>
      </w:pPr>
    </w:p>
    <w:p>
      <w:pPr>
        <w:ind w:right="220" w:firstLine="921"/>
        <w:spacing w:after="0" w:line="286" w:lineRule="auto"/>
        <w:tabs>
          <w:tab w:leader="none" w:pos="115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 xml:space="preserve">Other than in order to consummate a Permitted Acquisition, enter into any merger, amalgamation, consolidation, reorganization, or recapitalization, or reclassify its Equity Interests, except for (i) any merger or amalgamation between Loan Parties organized or incorporated in the same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that a Borrower must be the surviving or continuing entity of any such merger or amalgamation to which it is a party, Parent must be the surviving or continuing entity of any such merger or amalgamation to which it is a party, and no merger may occur between Parent and any Borrower,</w:t>
      </w:r>
    </w:p>
    <w:p>
      <w:pPr>
        <w:spacing w:after="0" w:line="1" w:lineRule="exact"/>
        <w:rPr>
          <w:rFonts w:ascii="Arial" w:cs="Arial" w:eastAsia="Arial" w:hAnsi="Arial"/>
          <w:sz w:val="16"/>
          <w:szCs w:val="16"/>
          <w:color w:val="auto"/>
        </w:rPr>
      </w:pPr>
    </w:p>
    <w:p>
      <w:pPr>
        <w:ind w:right="20" w:firstLine="8"/>
        <w:spacing w:after="0" w:line="302" w:lineRule="auto"/>
        <w:tabs>
          <w:tab w:leader="none" w:pos="26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any merger or amalgamation between a Loan Party and a Subsidiary of such Loan Party that is not a Loan Party so long as such Loan Party is the surviving entity of any such merger or amalgamation (or, in the case of an amalgamation, the continuing corporation resulting therefrom must be liable for the Obligations of such Loan Party under the Loan Documents), and (iii) any merger between Subsidiaries of any Loan Party that are not Loan Parties,</w:t>
      </w:r>
    </w:p>
    <w:p>
      <w:pPr>
        <w:spacing w:after="0" w:line="47" w:lineRule="exact"/>
        <w:rPr>
          <w:rFonts w:ascii="Arial" w:cs="Arial" w:eastAsia="Arial" w:hAnsi="Arial"/>
          <w:sz w:val="16"/>
          <w:szCs w:val="16"/>
          <w:color w:val="auto"/>
        </w:rPr>
      </w:pPr>
    </w:p>
    <w:p>
      <w:pPr>
        <w:ind w:right="280" w:firstLine="921"/>
        <w:spacing w:after="0" w:line="257" w:lineRule="auto"/>
        <w:tabs>
          <w:tab w:leader="none" w:pos="116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liquidate, wind up, or dissolve itself (or suffer any liquidation, winding up or dissolution), except for (i) the liquidation, winding up or dissolution of non-operating Subsidiaries of any Loan Party with nominal assets and nominal liabilities, (ii) the liquidation, winding up or dissolution of a Loan Party (other than Parent or any Borrower) or any of its wholly-owned Subsidiaries so long as all of the assets (including any interest in any Equity Interests) of such Loan Party or Subsidiary are transferred to a Loan Party that is not liquidating, winding up or dissolving or such Loan Party has nominal assets and nominal liabilities which 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274" w:right="239" w:bottom="1440" w:gutter="0" w:footer="0" w:header="0"/>
        </w:sectPr>
      </w:pPr>
    </w:p>
    <w:bookmarkStart w:id="185" w:name="page186"/>
    <w:bookmarkEnd w:id="185"/>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disposed of in a Permitted Disposition, or (iii) the liquidation, winding up or dissolution of a Subsidiary of any Loan Party that is not a Loan Party (other than any such Subsidiary the Equity Interests of which (or any portion thereof) is subject to a Lien in favor of Agent) if the Borrowers determine in good faith that such liquidation, winding up or dissolution is in the best interests of the Borrowers, so long as the assets of such liquidating, winding up or dissolving Subsidiary are otherwise disposed of in a Permitted Disposition or are transferred to a Subsidiary of a Loan Party that is not liquidating, winding up or dissolving,</w:t>
      </w:r>
    </w:p>
    <w:p>
      <w:pPr>
        <w:spacing w:after="0" w:line="80" w:lineRule="exact"/>
        <w:rPr>
          <w:sz w:val="20"/>
          <w:szCs w:val="20"/>
          <w:color w:val="auto"/>
        </w:rPr>
      </w:pPr>
    </w:p>
    <w:p>
      <w:pPr>
        <w:ind w:right="700" w:firstLine="921"/>
        <w:spacing w:after="0" w:line="277" w:lineRule="auto"/>
        <w:tabs>
          <w:tab w:leader="none" w:pos="115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suspend or cease operating a substantial portion of its or their business, except as permitted pursuant to clauses (a) or (b) above or in connection with a transaction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change its classification/status for U.S. federal income tax purposes.</w:t>
      </w:r>
    </w:p>
    <w:p>
      <w:pPr>
        <w:spacing w:after="0" w:line="113"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u w:val="single" w:color="auto"/>
          <w:color w:val="auto"/>
        </w:rPr>
        <w:t>Disposal of Assets</w:t>
      </w:r>
      <w:r>
        <w:rPr>
          <w:rFonts w:ascii="Arial" w:cs="Arial" w:eastAsia="Arial" w:hAnsi="Arial"/>
          <w:sz w:val="17"/>
          <w:szCs w:val="17"/>
          <w:color w:val="auto"/>
        </w:rPr>
        <w:t xml:space="preserve">. Other than Permitted Dispositions or transactions expressly permitted by </w:t>
      </w:r>
      <w:r>
        <w:rPr>
          <w:rFonts w:ascii="Arial" w:cs="Arial" w:eastAsia="Arial" w:hAnsi="Arial"/>
          <w:sz w:val="17"/>
          <w:szCs w:val="17"/>
          <w:u w:val="single" w:color="auto"/>
          <w:color w:val="auto"/>
        </w:rPr>
        <w:t>Sections 6.3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6.9</w:t>
      </w:r>
      <w:r>
        <w:rPr>
          <w:rFonts w:ascii="Arial" w:cs="Arial" w:eastAsia="Arial" w:hAnsi="Arial"/>
          <w:sz w:val="17"/>
          <w:szCs w:val="17"/>
          <w:color w:val="auto"/>
        </w:rPr>
        <w:t>, each Loan Party will not, and will not permit any of its Subsidiaries to, convey, sell, lease, license, assign, transfer, or otherwise dispose of any of its or their assets.</w:t>
      </w:r>
    </w:p>
    <w:p>
      <w:pPr>
        <w:spacing w:after="0" w:line="3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Nature of Business</w:t>
      </w:r>
      <w:r>
        <w:rPr>
          <w:rFonts w:ascii="Arial" w:cs="Arial" w:eastAsia="Arial" w:hAnsi="Arial"/>
          <w:sz w:val="18"/>
          <w:szCs w:val="18"/>
          <w:color w:val="auto"/>
        </w:rPr>
        <w:t xml:space="preserve">. Each Loan Party will not, and will not permit any of its Subsidiaries to, make any material change in the nature of its or their business as described in </w:t>
      </w:r>
      <w:r>
        <w:rPr>
          <w:rFonts w:ascii="Arial" w:cs="Arial" w:eastAsia="Arial" w:hAnsi="Arial"/>
          <w:sz w:val="18"/>
          <w:szCs w:val="18"/>
          <w:u w:val="single" w:color="auto"/>
          <w:color w:val="auto"/>
        </w:rPr>
        <w:t>Schedule 6.5</w:t>
      </w:r>
      <w:r>
        <w:rPr>
          <w:rFonts w:ascii="Arial" w:cs="Arial" w:eastAsia="Arial" w:hAnsi="Arial"/>
          <w:sz w:val="18"/>
          <w:szCs w:val="18"/>
          <w:color w:val="auto"/>
        </w:rPr>
        <w:t xml:space="preserve"> to this Agreement or acquire any properties or assets that are not reasonably related to the conduct of such business activities;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shall not prevent any Loan Party and its Subsidiaries from engaging in any business that is reasonably related or ancillary to its or their business.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Prepayments and Amendments</w:t>
      </w:r>
      <w:r>
        <w:rPr>
          <w:rFonts w:ascii="Arial" w:cs="Arial" w:eastAsia="Arial" w:hAnsi="Arial"/>
          <w:sz w:val="18"/>
          <w:szCs w:val="18"/>
          <w:color w:val="auto"/>
        </w:rPr>
        <w:t>. Each Loan Party will not, and will not permit any of its Subsidiaries to,</w:t>
      </w:r>
    </w:p>
    <w:p>
      <w:pPr>
        <w:spacing w:after="0" w:line="121" w:lineRule="exact"/>
        <w:rPr>
          <w:sz w:val="20"/>
          <w:szCs w:val="20"/>
          <w:color w:val="auto"/>
        </w:rPr>
      </w:pPr>
    </w:p>
    <w:p>
      <w:pPr>
        <w:ind w:left="1160" w:hanging="239"/>
        <w:spacing w:after="0"/>
        <w:tabs>
          <w:tab w:leader="none" w:pos="11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Except in connection with Refinancing Indebtedness permitted by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2"/>
          <w:numId w:val="213"/>
        </w:numPr>
        <w:rPr>
          <w:rFonts w:ascii="Arial" w:cs="Arial" w:eastAsia="Arial" w:hAnsi="Arial"/>
          <w:sz w:val="16"/>
          <w:szCs w:val="16"/>
          <w:color w:val="auto"/>
        </w:rPr>
      </w:pPr>
      <w:r>
        <w:rPr>
          <w:rFonts w:ascii="Arial" w:cs="Arial" w:eastAsia="Arial" w:hAnsi="Arial"/>
          <w:sz w:val="16"/>
          <w:szCs w:val="16"/>
          <w:color w:val="auto"/>
        </w:rPr>
        <w:t>optionally prepay, redeem, defease, purchase, or otherwise acquire any Indebtedness of any Loan Party or its Subsidiaries, other than</w:t>
      </w:r>
    </w:p>
    <w:p>
      <w:pPr>
        <w:spacing w:after="0" w:line="46" w:lineRule="exact"/>
        <w:rPr>
          <w:rFonts w:ascii="Arial" w:cs="Arial" w:eastAsia="Arial" w:hAnsi="Arial"/>
          <w:sz w:val="16"/>
          <w:szCs w:val="16"/>
          <w:color w:val="auto"/>
        </w:rPr>
      </w:pPr>
    </w:p>
    <w:p>
      <w:pPr>
        <w:ind w:right="140" w:firstLine="8"/>
        <w:spacing w:after="0" w:line="261" w:lineRule="auto"/>
        <w:tabs>
          <w:tab w:leader="none" w:pos="29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Obligations in accordance with this Agreement, (B) Hedge Obligations, (C) Permitted Intercompany Advances, or (D) other Indebtedness so long as the Payment Conditions are satisfied, or</w:t>
      </w:r>
    </w:p>
    <w:p>
      <w:pPr>
        <w:spacing w:after="0" w:line="75" w:lineRule="exact"/>
        <w:rPr>
          <w:rFonts w:ascii="Arial" w:cs="Arial" w:eastAsia="Arial" w:hAnsi="Arial"/>
          <w:sz w:val="18"/>
          <w:szCs w:val="18"/>
          <w:color w:val="auto"/>
        </w:rPr>
      </w:pPr>
    </w:p>
    <w:p>
      <w:pPr>
        <w:ind w:right="40" w:firstLine="1492"/>
        <w:spacing w:after="0" w:line="277" w:lineRule="auto"/>
        <w:tabs>
          <w:tab w:leader="none" w:pos="1748" w:val="left"/>
        </w:tabs>
        <w:numPr>
          <w:ilvl w:val="2"/>
          <w:numId w:val="214"/>
        </w:numPr>
        <w:rPr>
          <w:rFonts w:ascii="Arial" w:cs="Arial" w:eastAsia="Arial" w:hAnsi="Arial"/>
          <w:sz w:val="18"/>
          <w:szCs w:val="18"/>
          <w:color w:val="auto"/>
        </w:rPr>
      </w:pPr>
      <w:r>
        <w:rPr>
          <w:rFonts w:ascii="Arial" w:cs="Arial" w:eastAsia="Arial" w:hAnsi="Arial"/>
          <w:sz w:val="18"/>
          <w:szCs w:val="18"/>
          <w:color w:val="auto"/>
        </w:rPr>
        <w:t>make any payment on account of Indebtedness that has been contractually subordinated in right of payment to the Obligations if such payment is not permitted at such time under the subordination terms and conditions,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Directly or indirectly, amend, modify, or change any of the terms or provisions of:</w:t>
      </w:r>
    </w:p>
    <w:p>
      <w:pPr>
        <w:spacing w:after="0" w:line="117" w:lineRule="exact"/>
        <w:rPr>
          <w:rFonts w:ascii="Arial" w:cs="Arial" w:eastAsia="Arial" w:hAnsi="Arial"/>
          <w:sz w:val="18"/>
          <w:szCs w:val="18"/>
          <w:color w:val="auto"/>
        </w:rPr>
      </w:pPr>
    </w:p>
    <w:p>
      <w:pPr>
        <w:jc w:val="both"/>
        <w:ind w:right="20" w:firstLine="1492"/>
        <w:spacing w:after="0" w:line="264" w:lineRule="auto"/>
        <w:tabs>
          <w:tab w:leader="none" w:pos="1698" w:val="left"/>
        </w:tabs>
        <w:numPr>
          <w:ilvl w:val="2"/>
          <w:numId w:val="215"/>
        </w:numPr>
        <w:rPr>
          <w:rFonts w:ascii="Arial" w:cs="Arial" w:eastAsia="Arial" w:hAnsi="Arial"/>
          <w:sz w:val="18"/>
          <w:szCs w:val="18"/>
          <w:color w:val="auto"/>
        </w:rPr>
      </w:pPr>
      <w:r>
        <w:rPr>
          <w:rFonts w:ascii="Arial" w:cs="Arial" w:eastAsia="Arial" w:hAnsi="Arial"/>
          <w:sz w:val="18"/>
          <w:szCs w:val="18"/>
          <w:color w:val="auto"/>
        </w:rPr>
        <w:t>any agreement, instrument, document, indenture, or other writing evidencing or concerning Permitted Indebtedness other than (A) the Obligations in accordance with this Agreement, (B) Hedge Obligations, (C) Permitted Intercompany Advances, and (D) Indebtedness permitted under clauses (c), (e), (h), (j), (k), (n) and (o) of the definition of Permitted Indebtedness,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274" w:right="259" w:bottom="1440" w:gutter="0" w:footer="0" w:header="0"/>
        </w:sectPr>
      </w:pPr>
    </w:p>
    <w:bookmarkStart w:id="186" w:name="page187"/>
    <w:bookmarkEnd w:id="186"/>
    <w:p>
      <w:pPr>
        <w:ind w:right="320" w:firstLine="1492"/>
        <w:spacing w:after="0" w:line="277" w:lineRule="auto"/>
        <w:tabs>
          <w:tab w:leader="none" w:pos="1748"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Governing Documents of any Loan Party or any of its Subsidiaries if the effect thereof, either individually or in the aggregate, could reasonably be expected to be materially adverse to the interests of the Lenders.</w:t>
      </w:r>
    </w:p>
    <w:p>
      <w:pPr>
        <w:spacing w:after="0" w:line="58"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Restricted Payments</w:t>
      </w:r>
      <w:r>
        <w:rPr>
          <w:rFonts w:ascii="Arial" w:cs="Arial" w:eastAsia="Arial" w:hAnsi="Arial"/>
          <w:sz w:val="18"/>
          <w:szCs w:val="18"/>
          <w:color w:val="auto"/>
        </w:rPr>
        <w:t xml:space="preserve">. Each Loan Party will not, and will not permit any of its Subsidiaries to, make any Restricted Payment; </w:t>
      </w:r>
      <w:r>
        <w:rPr>
          <w:rFonts w:ascii="Arial" w:cs="Arial" w:eastAsia="Arial" w:hAnsi="Arial"/>
          <w:sz w:val="18"/>
          <w:szCs w:val="18"/>
          <w:u w:val="single" w:color="auto"/>
          <w:color w:val="auto"/>
        </w:rPr>
        <w:t>provided</w:t>
      </w:r>
      <w:r>
        <w:rPr>
          <w:rFonts w:ascii="Arial" w:cs="Arial" w:eastAsia="Arial" w:hAnsi="Arial"/>
          <w:sz w:val="18"/>
          <w:szCs w:val="18"/>
          <w:color w:val="auto"/>
        </w:rPr>
        <w:t>, that so long as it is permitted by law,</w:t>
      </w:r>
    </w:p>
    <w:p>
      <w:pPr>
        <w:spacing w:after="0" w:line="58" w:lineRule="exact"/>
        <w:rPr>
          <w:sz w:val="20"/>
          <w:szCs w:val="20"/>
          <w:color w:val="auto"/>
        </w:rPr>
      </w:pPr>
    </w:p>
    <w:p>
      <w:pPr>
        <w:ind w:right="140" w:firstLine="921"/>
        <w:spacing w:after="0" w:line="286" w:lineRule="auto"/>
        <w:tabs>
          <w:tab w:leader="none" w:pos="1158"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or would result therefrom, Parent may make distributions to former employees, officers, or directors of Parent (or any spouses, ex-spouses, or estates of any of the foregoing) on account of redemptions of Equity Interests of Parent held by such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redemptions made by Parent during the term of this Agreement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amount of Indebtedness outstanding under clause (l) of the definition of Permitted Indebtedness, does not exceed the sum of (i) $10,000,000 in the aggregate, plus</w:t>
      </w:r>
    </w:p>
    <w:p>
      <w:pPr>
        <w:spacing w:after="0" w:line="1" w:lineRule="exact"/>
        <w:rPr>
          <w:rFonts w:ascii="Arial" w:cs="Arial" w:eastAsia="Arial" w:hAnsi="Arial"/>
          <w:sz w:val="16"/>
          <w:szCs w:val="16"/>
          <w:color w:val="auto"/>
        </w:rPr>
      </w:pPr>
    </w:p>
    <w:p>
      <w:pPr>
        <w:ind w:right="40" w:firstLine="8"/>
        <w:spacing w:after="0" w:line="261" w:lineRule="auto"/>
        <w:tabs>
          <w:tab w:leader="none" w:pos="26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aggregate amount of Equity Issuance Proceeds received by the Parent in a substantially contemporaneous issuance of new common Equity Interests of the Parent,</w:t>
      </w:r>
    </w:p>
    <w:p>
      <w:pPr>
        <w:spacing w:after="0" w:line="75" w:lineRule="exact"/>
        <w:rPr>
          <w:rFonts w:ascii="Arial" w:cs="Arial" w:eastAsia="Arial" w:hAnsi="Arial"/>
          <w:sz w:val="18"/>
          <w:szCs w:val="18"/>
          <w:color w:val="auto"/>
        </w:rPr>
      </w:pPr>
    </w:p>
    <w:p>
      <w:pPr>
        <w:ind w:right="20" w:firstLine="921"/>
        <w:spacing w:after="0" w:line="259" w:lineRule="auto"/>
        <w:tabs>
          <w:tab w:leader="none" w:pos="116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or would result therefrom, Parent may make distributions to former employees, officers, or directors of Parent (or any spouses, ex-spouses, or estates of any of the foregoing), solely in the form of forgiveness of Indebtedness of such Persons owing to Parent on account of repurchases of the Equity Interests of Parent held by such Persons;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Indebtedness was incurred by such Persons solely to acquire Equity Interests of Parent,</w:t>
      </w:r>
    </w:p>
    <w:p>
      <w:pPr>
        <w:spacing w:after="0" w:line="78" w:lineRule="exact"/>
        <w:rPr>
          <w:rFonts w:ascii="Arial" w:cs="Arial" w:eastAsia="Arial" w:hAnsi="Arial"/>
          <w:sz w:val="18"/>
          <w:szCs w:val="18"/>
          <w:color w:val="auto"/>
        </w:rPr>
      </w:pPr>
    </w:p>
    <w:p>
      <w:pPr>
        <w:jc w:val="both"/>
        <w:ind w:firstLine="921"/>
        <w:spacing w:after="0" w:line="302" w:lineRule="auto"/>
        <w:tabs>
          <w:tab w:leader="none" w:pos="1158" w:val="left"/>
        </w:tabs>
        <w:numPr>
          <w:ilvl w:val="1"/>
          <w:numId w:val="218"/>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or would result therefrom, Parent’s Subsidiaries may make distributions to Parent (i) in an amount sufficient to pay franchise taxes and other fees required to maintain the legal existence of the Loan Parties and their Subsidiaries to the extent actually used by Parent to pay such taxes, costs and expenses, and (ii) in an amount sufficient to pay out-of-pocket legal, accounting and filing costs and other expenses in the nature of overhead in the ordinary course of business of the Loan Parties and their Subsidiaries,</w:t>
      </w:r>
    </w:p>
    <w:p>
      <w:pPr>
        <w:spacing w:after="0" w:line="46" w:lineRule="exact"/>
        <w:rPr>
          <w:rFonts w:ascii="Arial" w:cs="Arial" w:eastAsia="Arial" w:hAnsi="Arial"/>
          <w:sz w:val="16"/>
          <w:szCs w:val="16"/>
          <w:color w:val="auto"/>
        </w:rPr>
      </w:pPr>
    </w:p>
    <w:p>
      <w:pPr>
        <w:ind w:left="1180" w:hanging="259"/>
        <w:spacing w:after="0"/>
        <w:tabs>
          <w:tab w:leader="none" w:pos="11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each Subsidiary may make Restricted Payments to any Loan Party,</w:t>
      </w:r>
    </w:p>
    <w:p>
      <w:pPr>
        <w:spacing w:after="0" w:line="117" w:lineRule="exact"/>
        <w:rPr>
          <w:rFonts w:ascii="Arial" w:cs="Arial" w:eastAsia="Arial" w:hAnsi="Arial"/>
          <w:sz w:val="18"/>
          <w:szCs w:val="18"/>
          <w:color w:val="auto"/>
        </w:rPr>
      </w:pPr>
    </w:p>
    <w:p>
      <w:pPr>
        <w:ind w:right="180" w:firstLine="921"/>
        <w:spacing w:after="0" w:line="277" w:lineRule="auto"/>
        <w:tabs>
          <w:tab w:leader="none" w:pos="115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Borrowers and their Subsidiaries may declare and make dividend payments or other distributions payable solely in the common stock or other common Equity Interests of such Person,</w:t>
      </w:r>
    </w:p>
    <w:p>
      <w:pPr>
        <w:spacing w:after="0" w:line="62" w:lineRule="exact"/>
        <w:rPr>
          <w:rFonts w:ascii="Arial" w:cs="Arial" w:eastAsia="Arial" w:hAnsi="Arial"/>
          <w:sz w:val="18"/>
          <w:szCs w:val="18"/>
          <w:color w:val="auto"/>
        </w:rPr>
      </w:pPr>
    </w:p>
    <w:p>
      <w:pPr>
        <w:ind w:right="20" w:firstLine="921"/>
        <w:spacing w:after="0" w:line="257" w:lineRule="auto"/>
        <w:tabs>
          <w:tab w:leader="none" w:pos="113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Restricted Payments may be made which consist of purchases, repurchases, redemptions or other acquisitions or retirements for value of Equity Interest deemed to occur upon the cashless exercise of stock options, warrants, rights to acquire Equity Interests or other convertible securities if such Equity Interests represent a portion of the exercise or exchange price thereof, and any purchases, repurchases, redemptions or other acquisitions or retirements for value of Equity Interests made in lieu of withholding taxes in connection with any exercise or exchange of warrants, options or rights to acquire Equity Interests,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274" w:right="239" w:bottom="1440" w:gutter="0" w:footer="0" w:header="0"/>
        </w:sectPr>
      </w:pPr>
    </w:p>
    <w:bookmarkStart w:id="187" w:name="page188"/>
    <w:bookmarkEnd w:id="187"/>
    <w:p>
      <w:pPr>
        <w:ind w:right="320" w:firstLine="921"/>
        <w:spacing w:after="0" w:line="277" w:lineRule="auto"/>
        <w:tabs>
          <w:tab w:leader="none" w:pos="11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Borrowers may make cash payments in lieu of the issuance of fractional shares with respect to issuances of Equity Interests otherwise permitted under this Agreement,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other Restricted Payments so long as the Payment Conditions are satisfied.</w:t>
      </w:r>
    </w:p>
    <w:p>
      <w:pPr>
        <w:spacing w:after="0" w:line="113"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u w:val="single" w:color="auto"/>
          <w:color w:val="auto"/>
        </w:rPr>
        <w:t>Accounting Methods</w:t>
      </w:r>
      <w:r>
        <w:rPr>
          <w:rFonts w:ascii="Arial" w:cs="Arial" w:eastAsia="Arial" w:hAnsi="Arial"/>
          <w:sz w:val="18"/>
          <w:szCs w:val="18"/>
          <w:color w:val="auto"/>
        </w:rPr>
        <w:t>. Each Loan Party will not, and will not permit any of its Subsidiaries to, modify or change its fiscal year or its method of accounting (other than as may be required to conform to GAAP).</w:t>
      </w:r>
    </w:p>
    <w:p>
      <w:pPr>
        <w:spacing w:after="0" w:line="54"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b w:val="1"/>
          <w:bCs w:val="1"/>
          <w:u w:val="single" w:color="auto"/>
          <w:color w:val="auto"/>
        </w:rPr>
        <w:t>Investments</w:t>
      </w:r>
      <w:r>
        <w:rPr>
          <w:rFonts w:ascii="Arial" w:cs="Arial" w:eastAsia="Arial" w:hAnsi="Arial"/>
          <w:sz w:val="17"/>
          <w:szCs w:val="17"/>
          <w:color w:val="auto"/>
        </w:rPr>
        <w:t>. Each Loan Party will not, and will not permit any of its Subsidiaries to, directly or indirectly, make or acquire any Investment or incur any liabilities (including contingent obligations) for or in connection with any Investment except for Permitted Investments.</w:t>
      </w:r>
    </w:p>
    <w:p>
      <w:pPr>
        <w:spacing w:after="0" w:line="30"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b w:val="1"/>
          <w:bCs w:val="1"/>
          <w:u w:val="single" w:color="auto"/>
          <w:color w:val="auto"/>
        </w:rPr>
        <w:t>Transactions with Affiliates</w:t>
      </w:r>
      <w:r>
        <w:rPr>
          <w:rFonts w:ascii="Arial" w:cs="Arial" w:eastAsia="Arial" w:hAnsi="Arial"/>
          <w:sz w:val="17"/>
          <w:szCs w:val="17"/>
          <w:color w:val="auto"/>
        </w:rPr>
        <w:t xml:space="preserve">. Each Loan Party will not, and will not permit any of its Subsidiaries to, directly or indirectly, enter into or permit to exist any transaction with any Affiliate of any Loan Party or any of its Subsidiaries except as disclosed on </w:t>
      </w:r>
      <w:r>
        <w:rPr>
          <w:rFonts w:ascii="Arial" w:cs="Arial" w:eastAsia="Arial" w:hAnsi="Arial"/>
          <w:sz w:val="17"/>
          <w:szCs w:val="17"/>
          <w:u w:val="single" w:color="auto"/>
          <w:color w:val="auto"/>
        </w:rPr>
        <w:t>Schedule 6.10</w:t>
      </w:r>
      <w:r>
        <w:rPr>
          <w:rFonts w:ascii="Arial" w:cs="Arial" w:eastAsia="Arial" w:hAnsi="Arial"/>
          <w:sz w:val="17"/>
          <w:szCs w:val="17"/>
          <w:color w:val="auto"/>
        </w:rPr>
        <w:t xml:space="preserve"> and except for:</w:t>
      </w:r>
    </w:p>
    <w:p>
      <w:pPr>
        <w:spacing w:after="0" w:line="34" w:lineRule="exact"/>
        <w:rPr>
          <w:sz w:val="20"/>
          <w:szCs w:val="20"/>
          <w:color w:val="auto"/>
        </w:rPr>
      </w:pPr>
    </w:p>
    <w:p>
      <w:pPr>
        <w:ind w:right="180" w:firstLine="921"/>
        <w:spacing w:after="0" w:line="312" w:lineRule="auto"/>
        <w:tabs>
          <w:tab w:leader="none" w:pos="115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transactions (other than the payment of management, consulting, monitoring, or advisory fees) between such Loan Party or its Subsidiaries, on the one hand, and any Affiliate of such Loan Party or its Subsidiaries, on the other hand, so long as such transactions are no less favorable, taken as a whole, to such Loan Party or its Subsidiaries, as applicable, than would be obtained in an arm’s length transaction with a non-Affiliate,</w:t>
      </w:r>
    </w:p>
    <w:p>
      <w:pPr>
        <w:spacing w:after="0" w:line="38" w:lineRule="exact"/>
        <w:rPr>
          <w:rFonts w:ascii="Arial" w:cs="Arial" w:eastAsia="Arial" w:hAnsi="Arial"/>
          <w:sz w:val="16"/>
          <w:szCs w:val="16"/>
          <w:color w:val="auto"/>
        </w:rPr>
      </w:pPr>
    </w:p>
    <w:p>
      <w:pPr>
        <w:ind w:right="60" w:firstLine="921"/>
        <w:spacing w:after="0" w:line="308" w:lineRule="auto"/>
        <w:tabs>
          <w:tab w:leader="none" w:pos="116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indemnity provided for the benefit of directors (or comparable managers) of a Loan Party or one of its Subsidiaries so long as it has been approved by such Loan Party’s or such Subsidiary’s board of directors (or comparable governing body) in accordance with applicable law,</w:t>
      </w:r>
    </w:p>
    <w:p>
      <w:pPr>
        <w:spacing w:after="0" w:line="38" w:lineRule="exact"/>
        <w:rPr>
          <w:rFonts w:ascii="Arial" w:cs="Arial" w:eastAsia="Arial" w:hAnsi="Arial"/>
          <w:sz w:val="17"/>
          <w:szCs w:val="17"/>
          <w:color w:val="auto"/>
        </w:rPr>
      </w:pPr>
    </w:p>
    <w:p>
      <w:pPr>
        <w:ind w:firstLine="921"/>
        <w:spacing w:after="0" w:line="286" w:lineRule="auto"/>
        <w:tabs>
          <w:tab w:leader="none" w:pos="115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payment of reasonable compensation, severance, or employee benefit arrangements to employees, officers, and outside directors of a Loan Party or one of its Subsidiaries in the ordinary course of business and consistent with industry practice so long as it has been approved by such Loan Party’s or such Subsidiary’s board of directors (or comparable governing body) in accordance with applicable law,</w:t>
      </w:r>
    </w:p>
    <w:p>
      <w:pPr>
        <w:spacing w:after="0" w:line="57" w:lineRule="exact"/>
        <w:rPr>
          <w:rFonts w:ascii="Arial" w:cs="Arial" w:eastAsia="Arial" w:hAnsi="Arial"/>
          <w:sz w:val="17"/>
          <w:szCs w:val="17"/>
          <w:color w:val="auto"/>
        </w:rPr>
      </w:pPr>
    </w:p>
    <w:p>
      <w:pPr>
        <w:ind w:right="220" w:firstLine="921"/>
        <w:spacing w:after="0" w:line="277" w:lineRule="auto"/>
        <w:tabs>
          <w:tab w:leader="none" w:pos="116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transactions solely among the US Loan Parties, (ii) transactions solely among the Canadian Loan Parties, (iii) transactions solely among the UK Loan Parties, and (iv) transactions solely among Subsidiaries of Loan Parties that are not Loan Parties,</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transactions permitted by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6.9</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firstLine="921"/>
        <w:spacing w:after="0" w:line="264" w:lineRule="auto"/>
        <w:tabs>
          <w:tab w:leader="none" w:pos="113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agreements for the non-exclusive licensing of intellectual property, or distribution of products, in each case, among the Loan Parties and their Subsidiaries for the purpose of the counterparty thereof operating its business, and agreements for the assignment of intellectual property from any Loan Party or any of its Subsidiaries to any Loan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274" w:right="259" w:bottom="1440" w:gutter="0" w:footer="0" w:header="0"/>
        </w:sectPr>
      </w:pPr>
    </w:p>
    <w:bookmarkStart w:id="188" w:name="page189"/>
    <w:bookmarkEnd w:id="188"/>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7"/>
          <w:szCs w:val="17"/>
          <w:b w:val="1"/>
          <w:bCs w:val="1"/>
          <w:u w:val="single" w:color="auto"/>
          <w:color w:val="auto"/>
        </w:rPr>
        <w:t>Use of Proceeds</w:t>
      </w:r>
      <w:r>
        <w:rPr>
          <w:rFonts w:ascii="Arial" w:cs="Arial" w:eastAsia="Arial" w:hAnsi="Arial"/>
          <w:sz w:val="17"/>
          <w:szCs w:val="17"/>
          <w:color w:val="auto"/>
        </w:rPr>
        <w:t xml:space="preserve">. Each Loan Party will not, and will not permit any of its Subsidiaries to, use the proceeds of any Loan made hereunder for any purpose other than (a) on the Closing Date, (i) to repay, in full, the outstanding principal, accrued interest, and accrued fees and expenses or any other amount owing under or in connection with the Existing Credit Facility, and (ii) to pay the fees, costs, and expenses incurred in connection with this Agreement, the other Loan Documents, and the transactions contemplated hereby and thereby, in each case, as set forth in the Flow of Funds Agreement, and (b) thereafter, consistent with the terms and conditions hereof, for general corporate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no part of the proceeds of the Loans will be used to purchase or carry any such Margin Stock or to extend credit to others for the purpose of purchasing or carrying any such Margin Stock or for any purpose that violates the provisions of Regulation T, U or X of the Board of Governors, (y) no part of the proceeds of any Loan or Letter of Credit will be used, directly or, to its knowledge after due care and inquiry,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(z) that no part of the proceeds of any Loan or Letter of Credit will be used, directly or, to its knowledge after due care and inquiry, indirectly, in furtherance of an offer, payment, promise to pay, or authorization of the payment or giving of money, or anything else of value, to any Person in violation of any Sanctions, Anti-Corruption Laws or Anti-Money Laundering Laws.</w:t>
      </w:r>
    </w:p>
    <w:p>
      <w:pPr>
        <w:spacing w:after="0" w:line="69"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b w:val="1"/>
          <w:bCs w:val="1"/>
          <w:u w:val="single" w:color="auto"/>
          <w:color w:val="auto"/>
        </w:rPr>
        <w:t>Limitation on Issuance of Equity Interests</w:t>
      </w:r>
      <w:r>
        <w:rPr>
          <w:rFonts w:ascii="Arial" w:cs="Arial" w:eastAsia="Arial" w:hAnsi="Arial"/>
          <w:sz w:val="18"/>
          <w:szCs w:val="18"/>
          <w:color w:val="auto"/>
        </w:rPr>
        <w:t>. Except for the issuance or sale of Qualified Equity Interests by Parent, each Loan Party will not, and will not permit any of its Subsidiaries to, issue or sell any of the Equity Interests issued by such Loan Party or Subsidiary.</w:t>
      </w:r>
    </w:p>
    <w:p>
      <w:pPr>
        <w:spacing w:after="0" w:line="54"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b w:val="1"/>
          <w:bCs w:val="1"/>
          <w:u w:val="single" w:color="auto"/>
          <w:color w:val="auto"/>
        </w:rPr>
        <w:t>Inventory with Bailees</w:t>
      </w:r>
      <w:r>
        <w:rPr>
          <w:rFonts w:ascii="Arial" w:cs="Arial" w:eastAsia="Arial" w:hAnsi="Arial"/>
          <w:sz w:val="18"/>
          <w:szCs w:val="18"/>
          <w:color w:val="auto"/>
        </w:rPr>
        <w:t xml:space="preserve">. Each Borrower will not, and will not permit any of its Subsidiaries to, store its Inventory (other than Inventory at a location with a value of less than $200,000) at any time with a bailee, warehouseman, or similar party except as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(as such Schedule may be amended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b w:val="1"/>
          <w:bCs w:val="1"/>
          <w:u w:val="single" w:color="auto"/>
          <w:color w:val="auto"/>
        </w:rPr>
        <w:t>Canadian Employee Benefits</w:t>
      </w:r>
      <w:r>
        <w:rPr>
          <w:rFonts w:ascii="Arial" w:cs="Arial" w:eastAsia="Arial" w:hAnsi="Arial"/>
          <w:sz w:val="18"/>
          <w:szCs w:val="18"/>
          <w:color w:val="auto"/>
        </w:rPr>
        <w:t>. Neither any Parent nor any Borrower will, nor will it permit any of its Subsidiaries to:</w:t>
      </w:r>
    </w:p>
    <w:p>
      <w:pPr>
        <w:spacing w:after="0" w:line="121" w:lineRule="exact"/>
        <w:rPr>
          <w:sz w:val="20"/>
          <w:szCs w:val="20"/>
          <w:color w:val="auto"/>
        </w:rPr>
      </w:pPr>
    </w:p>
    <w:p>
      <w:pPr>
        <w:ind w:right="140" w:firstLine="921"/>
        <w:spacing w:after="0" w:line="264" w:lineRule="auto"/>
        <w:tabs>
          <w:tab w:leader="none" w:pos="115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establish, maintain, sponsor, administer, contribute to, participate in or assume or incur any liability in respect of any Canadian Pension Plan or amalgamate with any Person if such Person, sponsors, administers, contributes to, participates in or has liability in respect of, any Canadian Defined Benefit Plan; or</w:t>
      </w:r>
    </w:p>
    <w:p>
      <w:pPr>
        <w:spacing w:after="0" w:line="73"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fail to make full payment when due of all amounts which, under the provisions of any Canadian Pension Plan, any agreement relating thereto or applicable law if such failure could reasonably be expected to result in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270" w:right="239" w:bottom="1440" w:gutter="0" w:footer="0" w:header="0"/>
        </w:sectPr>
      </w:pPr>
    </w:p>
    <w:bookmarkStart w:id="189" w:name="page190"/>
    <w:bookmarkEnd w:id="189"/>
    <w:p>
      <w:pPr>
        <w:ind w:left="180" w:hanging="172"/>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COVENANTS.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Each of Parent and each Borrower covenants and agrees that, until the termination of all of the Commitments and the payment in full of the Obligations, Parent and Borrowers will maintain a Fixed Charge Coverage Ratio, calculated for each 4 quarter period ending on the first day of any Covenant Testing Period and the last day of each fiscal quarter occurring until the end of any Covenant Testing Period (including the last day thereof), in each case of at least 1.00 to 1.00.</w:t>
      </w:r>
    </w:p>
    <w:p>
      <w:pPr>
        <w:spacing w:after="0" w:line="183" w:lineRule="exact"/>
        <w:rPr>
          <w:sz w:val="20"/>
          <w:szCs w:val="20"/>
          <w:color w:val="auto"/>
        </w:rPr>
      </w:pPr>
    </w:p>
    <w:p>
      <w:pPr>
        <w:ind w:left="180" w:hanging="172"/>
        <w:spacing w:after="0"/>
        <w:tabs>
          <w:tab w:leader="none" w:pos="18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one or more of the following events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Agreement:</w:t>
      </w:r>
    </w:p>
    <w:p>
      <w:pPr>
        <w:spacing w:after="0" w:line="113"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Payments</w:t>
      </w:r>
      <w:r>
        <w:rPr>
          <w:rFonts w:ascii="Arial" w:cs="Arial" w:eastAsia="Arial" w:hAnsi="Arial"/>
          <w:sz w:val="17"/>
          <w:szCs w:val="17"/>
          <w:color w:val="auto"/>
        </w:rPr>
        <w:t>. If Borrowers fail to pay when due and payable, or when declared due and payable, (a) all or any portion of the Obligations consisting of interest, fees, or charges due the Lender Group, reimbursement of Lender Group Expenses, or other amounts (other than any portion thereof constituting principal) constituting Obligations (including any portion thereof that accrues after the commencement of an Insolvency Proceeding, regardless of whether allowed or allowable in whole or in part as a claim in any such Insolvency Proceeding), and such failure continues for a period of five Business Days, (b) all or any portion of the principal of the Loans, or (c) to the extent not converted to a Loan otherwise permitted to be outstanding hereunder, any amount payable to an Issuing Lender in reimbursement of any drawing under a Letter of Credit;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Covenants</w:t>
      </w:r>
      <w:r>
        <w:rPr>
          <w:rFonts w:ascii="Arial" w:cs="Arial" w:eastAsia="Arial" w:hAnsi="Arial"/>
          <w:sz w:val="18"/>
          <w:szCs w:val="18"/>
          <w:color w:val="auto"/>
        </w:rPr>
        <w:t>. If any Loan Party or any of its Subsidiaries:</w:t>
      </w:r>
    </w:p>
    <w:p>
      <w:pPr>
        <w:spacing w:after="0" w:line="121" w:lineRule="exact"/>
        <w:rPr>
          <w:sz w:val="20"/>
          <w:szCs w:val="20"/>
          <w:color w:val="auto"/>
        </w:rPr>
      </w:pPr>
    </w:p>
    <w:p>
      <w:pPr>
        <w:ind w:firstLine="921"/>
        <w:spacing w:after="0" w:line="286" w:lineRule="auto"/>
        <w:tabs>
          <w:tab w:leader="none" w:pos="115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fails to perform or observe any covenant or other agreement contained in any of (i) </w:t>
      </w:r>
      <w:r>
        <w:rPr>
          <w:rFonts w:ascii="Arial" w:cs="Arial" w:eastAsia="Arial" w:hAnsi="Arial"/>
          <w:sz w:val="16"/>
          <w:szCs w:val="16"/>
          <w:u w:val="single" w:color="auto"/>
          <w:color w:val="auto"/>
        </w:rPr>
        <w:t>Sections 3.6</w:t>
      </w:r>
      <w:r>
        <w:rPr>
          <w:rFonts w:ascii="Arial" w:cs="Arial" w:eastAsia="Arial" w:hAnsi="Arial"/>
          <w:sz w:val="16"/>
          <w:szCs w:val="16"/>
          <w:color w:val="auto"/>
        </w:rPr>
        <w:t xml:space="preserve">, </w:t>
      </w:r>
      <w:r>
        <w:rPr>
          <w:rFonts w:ascii="Arial" w:cs="Arial" w:eastAsia="Arial" w:hAnsi="Arial"/>
          <w:sz w:val="16"/>
          <w:szCs w:val="16"/>
          <w:u w:val="single" w:color="auto"/>
          <w:color w:val="auto"/>
        </w:rPr>
        <w:t>5.1</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(solely if any Borrower is not in good standing in its jurisdiction of organization),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(solely if any Borrower refuses to allow Agent or its representatives or agents to visit any Borrower’s properties, inspect its assets or books or records, examine and make copies of its books and records, or discuss Borrowers’ affairs, finances, and accounts with senior management of any Borrower in accordance with the terms of this Agreement), </w:t>
      </w:r>
      <w:r>
        <w:rPr>
          <w:rFonts w:ascii="Arial" w:cs="Arial" w:eastAsia="Arial" w:hAnsi="Arial"/>
          <w:sz w:val="16"/>
          <w:szCs w:val="16"/>
          <w:u w:val="single" w:color="auto"/>
          <w:color w:val="auto"/>
        </w:rPr>
        <w:t>5.14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5.21</w:t>
      </w:r>
      <w:r>
        <w:rPr>
          <w:rFonts w:ascii="Arial" w:cs="Arial" w:eastAsia="Arial" w:hAnsi="Arial"/>
          <w:sz w:val="16"/>
          <w:szCs w:val="16"/>
          <w:color w:val="auto"/>
        </w:rPr>
        <w:t xml:space="preserve"> of this Agreement, (ii)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or (iv) Section 7 of the US Security Agreement or Section 7 of the Canadian Security Agreement;</w:t>
      </w:r>
    </w:p>
    <w:p>
      <w:pPr>
        <w:spacing w:after="0" w:line="102" w:lineRule="exact"/>
        <w:rPr>
          <w:rFonts w:ascii="Arial" w:cs="Arial" w:eastAsia="Arial" w:hAnsi="Arial"/>
          <w:sz w:val="18"/>
          <w:szCs w:val="18"/>
          <w:color w:val="auto"/>
        </w:rPr>
      </w:pPr>
    </w:p>
    <w:p>
      <w:pPr>
        <w:ind w:firstLine="921"/>
        <w:spacing w:after="0" w:line="259" w:lineRule="auto"/>
        <w:tabs>
          <w:tab w:leader="none" w:pos="116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fails to perform or observe any covenant or other agreement contained in any of </w:t>
      </w:r>
      <w:r>
        <w:rPr>
          <w:rFonts w:ascii="Arial" w:cs="Arial" w:eastAsia="Arial" w:hAnsi="Arial"/>
          <w:sz w:val="18"/>
          <w:szCs w:val="18"/>
          <w:u w:val="single" w:color="auto"/>
          <w:color w:val="auto"/>
        </w:rPr>
        <w:t>Sections 5.3</w:t>
      </w:r>
      <w:r>
        <w:rPr>
          <w:rFonts w:ascii="Arial" w:cs="Arial" w:eastAsia="Arial" w:hAnsi="Arial"/>
          <w:sz w:val="18"/>
          <w:szCs w:val="18"/>
          <w:color w:val="auto"/>
        </w:rPr>
        <w:t xml:space="preserve"> (other than if any Borrower is not in good standing in its jurisdiction of organization),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of this Agreement and such failure continues for a period of fifteen days after the earlier of (i) the date on which such failure shall first become known to any officer of any Borrower, or (ii) the date on which written notice thereof is given to Borrowers by Agent; or</w:t>
      </w:r>
    </w:p>
    <w:p>
      <w:pPr>
        <w:spacing w:after="0" w:line="78" w:lineRule="exact"/>
        <w:rPr>
          <w:rFonts w:ascii="Arial" w:cs="Arial" w:eastAsia="Arial" w:hAnsi="Arial"/>
          <w:sz w:val="18"/>
          <w:szCs w:val="18"/>
          <w:color w:val="auto"/>
        </w:rPr>
      </w:pPr>
    </w:p>
    <w:p>
      <w:pPr>
        <w:ind w:right="60" w:firstLine="921"/>
        <w:spacing w:after="0" w:line="279" w:lineRule="auto"/>
        <w:tabs>
          <w:tab w:leader="none" w:pos="1158" w:val="left"/>
        </w:tabs>
        <w:numPr>
          <w:ilvl w:val="1"/>
          <w:numId w:val="225"/>
        </w:numPr>
        <w:rPr>
          <w:rFonts w:ascii="Arial" w:cs="Arial" w:eastAsia="Arial" w:hAnsi="Arial"/>
          <w:sz w:val="17"/>
          <w:szCs w:val="17"/>
          <w:color w:val="auto"/>
        </w:rPr>
      </w:pPr>
      <w:r>
        <w:rPr>
          <w:rFonts w:ascii="Arial" w:cs="Arial" w:eastAsia="Arial" w:hAnsi="Arial"/>
          <w:sz w:val="17"/>
          <w:szCs w:val="17"/>
          <w:color w:val="auto"/>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(in which event such other provision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govern), and such failure continues for a period of thirty days after the earlier of (i) the date on which such failure shall first become known to any officer of any Borrower, or (ii) the date on which written notice thereof is given to Borrowers by Agent;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270" w:right="259" w:bottom="1440" w:gutter="0" w:footer="0" w:header="0"/>
        </w:sectPr>
      </w:pPr>
    </w:p>
    <w:bookmarkStart w:id="190" w:name="page191"/>
    <w:bookmarkEnd w:id="190"/>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 </w:t>
      </w:r>
      <w:r>
        <w:rPr>
          <w:rFonts w:ascii="Arial" w:cs="Arial" w:eastAsia="Arial" w:hAnsi="Arial"/>
          <w:sz w:val="16"/>
          <w:szCs w:val="16"/>
          <w:b w:val="1"/>
          <w:bCs w:val="1"/>
          <w:u w:val="single" w:color="auto"/>
          <w:color w:val="auto"/>
        </w:rPr>
        <w:t>Judgments</w:t>
      </w:r>
      <w:r>
        <w:rPr>
          <w:rFonts w:ascii="Arial" w:cs="Arial" w:eastAsia="Arial" w:hAnsi="Arial"/>
          <w:sz w:val="16"/>
          <w:szCs w:val="16"/>
          <w:color w:val="auto"/>
        </w:rPr>
        <w:t>. If one or more judgments, orders, requirements to pay issued by any Canadian Governmental Authority or awards for the payment of money involving an aggregate amount of $35,000,000, or more (except to the extent fully covered (other than to the extent of customary deductibles) by insurance pursuant to which the insurer has not denied coverage) is entered or filed against a Loan Party or any of its Subsidiaries, or with respect to any of their respective assets, and either (a) there is a period of thirty consecutive days at any time after the entry of any such judgment, order, or award during which</w:t>
      </w:r>
    </w:p>
    <w:p>
      <w:pPr>
        <w:spacing w:after="0" w:line="3" w:lineRule="exact"/>
        <w:rPr>
          <w:sz w:val="20"/>
          <w:szCs w:val="20"/>
          <w:color w:val="auto"/>
        </w:rPr>
      </w:pPr>
    </w:p>
    <w:p>
      <w:pPr>
        <w:ind w:right="840" w:firstLine="8"/>
        <w:spacing w:after="0" w:line="261" w:lineRule="auto"/>
        <w:tabs>
          <w:tab w:leader="none" w:pos="21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same is not discharged, satisfied, vacated, or bonded pending appeal, or (ii) a stay of enforcement thereof is not in effect, or (b) enforcement proceedings are commenced upon such judgment, order, or award;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Voluntary Bankruptcy, etc</w:t>
      </w:r>
      <w:r>
        <w:rPr>
          <w:rFonts w:ascii="Arial" w:cs="Arial" w:eastAsia="Arial" w:hAnsi="Arial"/>
          <w:sz w:val="18"/>
          <w:szCs w:val="18"/>
          <w:color w:val="auto"/>
        </w:rPr>
        <w:t>. If an Insolvency Proceeding is commenced by a Loan Party or any of its Subsidiaries;</w:t>
      </w:r>
    </w:p>
    <w:p>
      <w:pPr>
        <w:spacing w:after="0" w:line="11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Involuntary Bankruptcy, etc</w:t>
      </w:r>
      <w:r>
        <w:rPr>
          <w:rFonts w:ascii="Arial" w:cs="Arial" w:eastAsia="Arial" w:hAnsi="Arial"/>
          <w:sz w:val="16"/>
          <w:szCs w:val="16"/>
          <w:color w:val="auto"/>
        </w:rPr>
        <w:t>. If an Insolvency Proceeding is commenced against a Loan Party or any of its Subsidiaries and any of the following events occur: (a) such Loan Party or such Subsidiary consents to the institution of such Insolvency Proceeding against it, (b) the petition commencing the Insolvency Proceeding is not timely controverted, (c) the petition commencing the Insolvency Proceeding is not dismissed within sixty calendar days of the date of the filing thereof, (d) an interim trustee is appointed to take possession of all or any substantial portion of the properties or assets of, or to operate all or any substantial portion of the business of, such Loan Party or its Subsidiary, or (e) an order for relief shall have been issued or entered therein;</w:t>
      </w:r>
    </w:p>
    <w:p>
      <w:pPr>
        <w:spacing w:after="0" w:line="46"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u w:val="single" w:color="auto"/>
          <w:color w:val="auto"/>
        </w:rPr>
        <w:t>Default Under Other Agreements</w:t>
      </w:r>
      <w:r>
        <w:rPr>
          <w:rFonts w:ascii="Arial" w:cs="Arial" w:eastAsia="Arial" w:hAnsi="Arial"/>
          <w:sz w:val="17"/>
          <w:szCs w:val="17"/>
          <w:color w:val="auto"/>
        </w:rPr>
        <w:t>. If there is a default in one or more agreements to which a Loan Party or any of its Subsidiaries is a party with one or more third Persons relative to a Loan Party’s or any of its Subsidiaries’ Indebtedness involving an aggregate amount of $35,000,000 or more, and such default (i) occurs at the final maturity of the obligations thereunder, or (ii) results in a right by such third Person after any applicable grace or cure period, irrespective of whether exercised, to accelerate the maturity of such Loan Party’s or its Subsidiary’s obligations thereunder;</w:t>
      </w:r>
    </w:p>
    <w:p>
      <w:pPr>
        <w:spacing w:after="0" w:line="57" w:lineRule="exact"/>
        <w:rPr>
          <w:sz w:val="20"/>
          <w:szCs w:val="20"/>
          <w:color w:val="auto"/>
        </w:rPr>
      </w:pPr>
    </w:p>
    <w:p>
      <w:pPr>
        <w:jc w:val="both"/>
        <w:ind w:right="40" w:firstLine="456"/>
        <w:spacing w:after="0" w:line="261"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u w:val="single" w:color="auto"/>
          <w:color w:val="auto"/>
        </w:rPr>
        <w:t>Representations, etc</w:t>
      </w:r>
      <w:r>
        <w:rPr>
          <w:rFonts w:ascii="Arial" w:cs="Arial" w:eastAsia="Arial" w:hAnsi="Arial"/>
          <w:sz w:val="18"/>
          <w:szCs w:val="18"/>
          <w:color w:val="auto"/>
        </w:rPr>
        <w:t>. If any warranty, representation, certificate, statement, or Record made herein or in any other Loan Document or delivered in writing to Agent or any Lender in connection 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7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u w:val="single" w:color="auto"/>
          <w:color w:val="auto"/>
        </w:rPr>
        <w:t>Guaranty</w:t>
      </w:r>
      <w:r>
        <w:rPr>
          <w:rFonts w:ascii="Arial" w:cs="Arial" w:eastAsia="Arial" w:hAnsi="Arial"/>
          <w:sz w:val="18"/>
          <w:szCs w:val="18"/>
          <w:color w:val="auto"/>
        </w:rPr>
        <w:t>. If the obligation of any Guarantor under the guaranty of any of the Obligations (including any guaranty contained in any Security Agreement) is limited or terminated by operation of law or by such Guarantor (other than in accordance with the terms of this Agreement) or if any Guarantor repudiates or revokes any such guaranty;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270" w:right="239" w:bottom="1440" w:gutter="0" w:footer="0" w:header="0"/>
        </w:sectPr>
      </w:pPr>
    </w:p>
    <w:bookmarkStart w:id="191" w:name="page192"/>
    <w:bookmarkEnd w:id="191"/>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8.9. </w:t>
      </w:r>
      <w:r>
        <w:rPr>
          <w:rFonts w:ascii="Arial" w:cs="Arial" w:eastAsia="Arial" w:hAnsi="Arial"/>
          <w:sz w:val="18"/>
          <w:szCs w:val="18"/>
          <w:b w:val="1"/>
          <w:bCs w:val="1"/>
          <w:u w:val="single" w:color="auto"/>
          <w:color w:val="auto"/>
        </w:rPr>
        <w:t>Security Documents</w:t>
      </w:r>
      <w:r>
        <w:rPr>
          <w:rFonts w:ascii="Arial" w:cs="Arial" w:eastAsia="Arial" w:hAnsi="Arial"/>
          <w:sz w:val="18"/>
          <w:szCs w:val="18"/>
          <w:color w:val="auto"/>
        </w:rPr>
        <w:t>. If the US Security Agreement, any Canadian Security Document, any UK Security Document or any other Loan Document that purports to create a Lien, shall, for any reason, fail or cease to create a valid, enforceable and perfected and, (except to the extent of Permitted Liens which are non-consensual Permitted Liens, permitted purchase money Liens or the interests of lessors under Capital Leases) first priority Lien on the Collateral covered thereby, except (a) as a result of a disposition of the applicable Collateral in a transaction permitted under this Agreement, (b) as the result of an action or failure to act on the part of Agent; or (c) for any such failure that extends only to Collateral (other than Eligible Accounts or Eligible Inventory) valued at less than $2,500,000 in the aggregate;</w:t>
      </w:r>
    </w:p>
    <w:p>
      <w:pPr>
        <w:spacing w:after="0" w:line="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u w:val="single" w:color="auto"/>
          <w:color w:val="auto"/>
        </w:rPr>
        <w:t>Loan Documents</w:t>
      </w:r>
      <w:r>
        <w:rPr>
          <w:rFonts w:ascii="Arial" w:cs="Arial" w:eastAsia="Arial" w:hAnsi="Arial"/>
          <w:sz w:val="18"/>
          <w:szCs w:val="18"/>
          <w:color w:val="auto"/>
        </w:rPr>
        <w:t>. The validity or enforceability of any Loan Document shall at any time for any reason (other than solely as the result of an action or failure to act on the part of Agent)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 or</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A Change of Control shall occur.</w:t>
      </w:r>
    </w:p>
    <w:p>
      <w:pPr>
        <w:spacing w:after="0" w:line="11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b w:val="1"/>
          <w:bCs w:val="1"/>
          <w:u w:val="single" w:color="auto"/>
          <w:color w:val="auto"/>
        </w:rPr>
        <w:t>UK Insolvency</w:t>
      </w:r>
      <w:r>
        <w:rPr>
          <w:rFonts w:ascii="Arial" w:cs="Arial" w:eastAsia="Arial" w:hAnsi="Arial"/>
          <w:sz w:val="18"/>
          <w:szCs w:val="18"/>
          <w:color w:val="auto"/>
        </w:rPr>
        <w:t>. If any UK Loan Party is unable or admits inability to pay its debts as they fall due, the value of its assets is less than its liabilities (taking into account contingent and prospective liabilities) or suspends making payments on any of its debts, in each case, as contemplated under the Insolvency Act of 1986 (UK).</w:t>
      </w:r>
    </w:p>
    <w:p>
      <w:pPr>
        <w:spacing w:after="0" w:line="176" w:lineRule="exact"/>
        <w:rPr>
          <w:sz w:val="20"/>
          <w:szCs w:val="20"/>
          <w:color w:val="auto"/>
        </w:rPr>
      </w:pPr>
    </w:p>
    <w:p>
      <w:pPr>
        <w:ind w:left="180" w:hanging="172"/>
        <w:spacing w:after="0"/>
        <w:tabs>
          <w:tab w:leader="none" w:pos="18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RIGHTS AND REMEDIES.</w:t>
      </w:r>
    </w:p>
    <w:p>
      <w:pPr>
        <w:spacing w:after="0" w:line="11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Rights and Remedies</w:t>
      </w:r>
      <w:r>
        <w:rPr>
          <w:rFonts w:ascii="Arial" w:cs="Arial" w:eastAsia="Arial" w:hAnsi="Arial"/>
          <w:sz w:val="18"/>
          <w:szCs w:val="18"/>
          <w:color w:val="auto"/>
        </w:rPr>
        <w:t>. Upon the occurrence and during the continuation of an Event of Default, Agent may, and, at the instruction of the Required Lenders, shall, in addition to any other rights or remedies provided for hereunder or under any other Loan Document or by applicable law, do any one or more of the following:</w:t>
      </w:r>
    </w:p>
    <w:p>
      <w:pPr>
        <w:spacing w:after="0" w:line="72" w:lineRule="exact"/>
        <w:rPr>
          <w:sz w:val="20"/>
          <w:szCs w:val="20"/>
          <w:color w:val="auto"/>
        </w:rPr>
      </w:pPr>
    </w:p>
    <w:p>
      <w:pPr>
        <w:ind w:right="180" w:firstLine="921"/>
        <w:spacing w:after="0" w:line="255" w:lineRule="auto"/>
        <w:tabs>
          <w:tab w:leader="none" w:pos="115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written notice to Borrowers, (i)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each Borrower, and (ii) direct Borrowers to provide (and Borrowers agree that upon receipt of such notice Borrowers will provide) Letter of Credit Collateralization to Agent to be held as security for Borrowers’ reimbursement obligations for drawings that may subsequently occur under issued and outstanding Letters of Credit;</w:t>
      </w:r>
    </w:p>
    <w:p>
      <w:pPr>
        <w:spacing w:after="0" w:line="81"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written notice to Borrowers, declare the Commitments terminated, whereupon the Commitments shall immediately be terminated together with (i) any obligation of any Revolving Lender to make Revolving Loans, (ii) the obligation of any Swing Lender to make Swing Loans, and (iii) the obligation of any Issuing Lender to issue Letters of Credit; and</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exercise all other rights and remedies available to Agent or the Lenders under the Loan Documents, under applicable law, or in equity.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270" w:right="259" w:bottom="1440" w:gutter="0" w:footer="0" w:header="0"/>
        </w:sectPr>
      </w:pPr>
    </w:p>
    <w:bookmarkStart w:id="192" w:name="page193"/>
    <w:bookmarkEnd w:id="192"/>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foregoing to the contrary notwithstanding, upon the occurrence of any Event of Default described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8.12</w:t>
      </w:r>
      <w:r>
        <w:rPr>
          <w:rFonts w:ascii="Arial" w:cs="Arial" w:eastAsia="Arial" w:hAnsi="Arial"/>
          <w:sz w:val="16"/>
          <w:szCs w:val="16"/>
          <w:color w:val="auto"/>
        </w:rPr>
        <w:t xml:space="preserve"> in addition to the remedies set forth above, without any notice to Borrowers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 that they will provide) (1) Letter of Credit Collateralization to Agent to be held as security for Borrowers’ reimbursement obligations in respect of drawings that may subsequently occur under issued and outstanding Letters of Credit and</w:t>
      </w:r>
    </w:p>
    <w:p>
      <w:pPr>
        <w:spacing w:after="0" w:line="3" w:lineRule="exact"/>
        <w:rPr>
          <w:sz w:val="20"/>
          <w:szCs w:val="20"/>
          <w:color w:val="auto"/>
        </w:rPr>
      </w:pPr>
    </w:p>
    <w:p>
      <w:pPr>
        <w:ind w:right="220" w:firstLine="8"/>
        <w:spacing w:after="0" w:line="290" w:lineRule="auto"/>
        <w:tabs>
          <w:tab w:leader="none" w:pos="25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Bank Product Collateralization to be held as security for Borrowers’ or their Subsidiaries’ obligations in respect of outstanding Bank Products), without presentment, demand, protest, or notice or other requirements of any kind, all of which are expressly waived by Parent and Borrowers.</w:t>
      </w:r>
    </w:p>
    <w:p>
      <w:pPr>
        <w:spacing w:after="0" w:line="49"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u w:val="single" w:color="auto"/>
          <w:color w:val="auto"/>
        </w:rPr>
        <w:t>Remedies Cumulative</w:t>
      </w:r>
      <w:r>
        <w:rPr>
          <w:rFonts w:ascii="Arial" w:cs="Arial" w:eastAsia="Arial" w:hAnsi="Arial"/>
          <w:sz w:val="16"/>
          <w:szCs w:val="16"/>
          <w:color w:val="auto"/>
        </w:rPr>
        <w:t>.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Default or Event of Default shall be deemed a continuing waiver. No delay by the Lender Group shall constitute a waiver, election, or acquiescence by it.</w:t>
      </w:r>
    </w:p>
    <w:p>
      <w:pPr>
        <w:spacing w:after="0" w:line="259" w:lineRule="exact"/>
        <w:rPr>
          <w:sz w:val="20"/>
          <w:szCs w:val="20"/>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WAIVERS; INDEMNIFICATION.</w:t>
      </w:r>
    </w:p>
    <w:p>
      <w:pPr>
        <w:spacing w:after="0" w:line="11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Demand; Protest; etc</w:t>
      </w:r>
      <w:r>
        <w:rPr>
          <w:rFonts w:ascii="Arial" w:cs="Arial" w:eastAsia="Arial" w:hAnsi="Arial"/>
          <w:sz w:val="18"/>
          <w:szCs w:val="18"/>
          <w:color w:val="auto"/>
        </w:rPr>
        <w:t>. Each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any Borrower may in any way be liable.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The Lender Group’s Liability for Collateral</w:t>
      </w:r>
      <w:r>
        <w:rPr>
          <w:rFonts w:ascii="Arial" w:cs="Arial" w:eastAsia="Arial" w:hAnsi="Arial"/>
          <w:sz w:val="17"/>
          <w:szCs w:val="17"/>
          <w:color w:val="auto"/>
        </w:rPr>
        <w:t>. Each Borrower hereby agrees that: (a) so long as Agent complies with its obligations, if 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under the Code or PPSA, as applicable, the Lender Group shall not in any way or manner be liable or responsible for: (i) the safekeeping of the Collateral,</w:t>
      </w:r>
    </w:p>
    <w:p>
      <w:pPr>
        <w:spacing w:after="0" w:line="32" w:lineRule="exact"/>
        <w:rPr>
          <w:sz w:val="20"/>
          <w:szCs w:val="20"/>
          <w:color w:val="auto"/>
        </w:rPr>
      </w:pPr>
    </w:p>
    <w:p>
      <w:pPr>
        <w:ind w:right="380" w:firstLine="8"/>
        <w:spacing w:after="0" w:line="255" w:lineRule="auto"/>
        <w:tabs>
          <w:tab w:leader="none" w:pos="2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spacing w:after="0" w:line="78"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Each Borrower shall pay, indemnify, defend, and hold the Agent-Related Persons, the Lender-Related Persons, each Issuing Lender, and each Participant (each,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harmless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274" w:right="239" w:bottom="1440" w:gutter="0" w:footer="0" w:header="0"/>
        </w:sectPr>
      </w:pPr>
    </w:p>
    <w:bookmarkStart w:id="193" w:name="page194"/>
    <w:bookmarkEnd w:id="19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irrespective of whether suit is brought), at any time asserted against, imposed upon, or incurred by any of them (a) in connection with or as a result of or related to the execution and delivery (provided, that Borrowers shall not be liable for costs and expenses (including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Parent’s and its Subsidiaries’ compliance with the terms of the Loan Documents (provided,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 (a) shall extend to Agent (but not the Lenders unless the dispute involves an act or omission of a Loan Party) relative to disputes between or among Agent on the one hand, and one or more Lenders, or one or more of their Affiliates, on the other hand, or</w:t>
      </w:r>
    </w:p>
    <w:p>
      <w:pPr>
        <w:spacing w:after="0" w:line="7" w:lineRule="exact"/>
        <w:rPr>
          <w:sz w:val="20"/>
          <w:szCs w:val="20"/>
          <w:color w:val="auto"/>
        </w:rPr>
      </w:pPr>
    </w:p>
    <w:p>
      <w:pPr>
        <w:ind w:right="120" w:firstLine="8"/>
        <w:spacing w:after="0" w:line="281" w:lineRule="auto"/>
        <w:tabs>
          <w:tab w:leader="none" w:pos="31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any claims for Taxes, which shall be governed by </w:t>
      </w:r>
      <w:r>
        <w:rPr>
          <w:rFonts w:ascii="Arial" w:cs="Arial" w:eastAsia="Arial" w:hAnsi="Arial"/>
          <w:sz w:val="16"/>
          <w:szCs w:val="16"/>
          <w:u w:val="single" w:color="auto"/>
          <w:color w:val="auto"/>
        </w:rPr>
        <w:t>Section 16</w:t>
      </w:r>
      <w:r>
        <w:rPr>
          <w:rFonts w:ascii="Arial" w:cs="Arial" w:eastAsia="Arial" w:hAnsi="Arial"/>
          <w:sz w:val="16"/>
          <w:szCs w:val="16"/>
          <w:color w:val="auto"/>
        </w:rPr>
        <w:t>, other than Taxes which relate to non-Tax claims),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any Loan Party or any of its Subsidiaries or any Environmental Actions, Environmental Liabilities or Remedial Actions related in any way to any such assets or properties of any Loan Party or any of its Subsidiaries (each and all of the foregoing,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The foregoing to the contrary notwithstanding, no Borrower shall have any obligation to any Indemnified Person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with respect to any Indemnified Liability that a court of competent jurisdiction finally determines to have resulted from the gross negligence, bad faith or willful misconduct of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 Indemnified Liability as to which Borrowers were required to indemnify the Indemnified Person receiving such payment, the Indemnified Person making such payment is entitled to be indemnified and reimbursed by Borrowers with respect thereto. </w:t>
      </w:r>
      <w:r>
        <w:rPr>
          <w:rFonts w:ascii="Arial" w:cs="Arial" w:eastAsia="Arial" w:hAnsi="Arial"/>
          <w:sz w:val="16"/>
          <w:szCs w:val="16"/>
          <w:b w:val="1"/>
          <w:bCs w:val="1"/>
          <w:color w:val="auto"/>
        </w:rPr>
        <w:t>WITHOUT LIMITATION, THE FOREGOING INDEMNITY SHALL APPLY TO EACH INDEMNIFIED PERSON WITH</w:t>
      </w:r>
    </w:p>
    <w:p>
      <w:pPr>
        <w:spacing w:after="0" w:line="8" w:lineRule="exact"/>
        <w:rPr>
          <w:rFonts w:ascii="Arial" w:cs="Arial" w:eastAsia="Arial" w:hAnsi="Arial"/>
          <w:sz w:val="16"/>
          <w:szCs w:val="16"/>
          <w:color w:val="auto"/>
        </w:rPr>
      </w:pPr>
    </w:p>
    <w:p>
      <w:pPr>
        <w:ind w:right="320"/>
        <w:spacing w:after="0" w:line="254" w:lineRule="auto"/>
        <w:rPr>
          <w:rFonts w:ascii="Arial" w:cs="Arial" w:eastAsia="Arial" w:hAnsi="Arial"/>
          <w:sz w:val="16"/>
          <w:szCs w:val="16"/>
          <w:color w:val="auto"/>
        </w:rPr>
      </w:pPr>
      <w:r>
        <w:rPr>
          <w:rFonts w:ascii="Arial" w:cs="Arial" w:eastAsia="Arial" w:hAnsi="Arial"/>
          <w:sz w:val="18"/>
          <w:szCs w:val="18"/>
          <w:b w:val="1"/>
          <w:bCs w:val="1"/>
          <w:color w:val="auto"/>
        </w:rPr>
        <w:t xml:space="preserve">RESPECT TO INDEMNIFIED LIABILITIES WHICH IN WHOLE OR IN PART ARE CAUSED BY OR ARISE OUT OF ANY NEGLIGENT ACT OR OMISSION OF SUCH INDEMNIFIED PERSON OR OF ANY OTHER PERSON. Notwithstanding anything to the contrary in this </w:t>
      </w:r>
      <w:r>
        <w:rPr>
          <w:rFonts w:ascii="Arial" w:cs="Arial" w:eastAsia="Arial" w:hAnsi="Arial"/>
          <w:sz w:val="18"/>
          <w:szCs w:val="18"/>
          <w:b w:val="1"/>
          <w:bCs w:val="1"/>
          <w:u w:val="single" w:color="auto"/>
          <w:color w:val="auto"/>
        </w:rPr>
        <w:t>Section 10.3</w:t>
      </w:r>
      <w:r>
        <w:rPr>
          <w:rFonts w:ascii="Arial" w:cs="Arial" w:eastAsia="Arial" w:hAnsi="Arial"/>
          <w:sz w:val="18"/>
          <w:szCs w:val="18"/>
          <w:b w:val="1"/>
          <w:bCs w:val="1"/>
          <w:color w:val="auto"/>
        </w:rPr>
        <w:t>, no UK Loan Party or Canadian Loan Party shall be liable or responsible for or deemed to be a guarantor of obligations (within the meaning of Section 956(c) of the IRC) of the US Loan Parties.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274" w:right="259" w:bottom="1440" w:gutter="0" w:footer="0" w:header="0"/>
        </w:sectPr>
      </w:pPr>
    </w:p>
    <w:bookmarkStart w:id="194" w:name="page195"/>
    <w:bookmarkEnd w:id="194"/>
    <w:p>
      <w:pPr>
        <w:ind w:left="280" w:hanging="272"/>
        <w:spacing w:after="0"/>
        <w:tabs>
          <w:tab w:leader="none" w:pos="28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any Loan Party or Agent, as the case may be, they shall be sent to the respective address set forth below:</w:t>
      </w:r>
    </w:p>
    <w:p>
      <w:pPr>
        <w:sectPr>
          <w:pgSz w:w="11900" w:h="16838" w:orient="portrait"/>
          <w:cols w:equalWidth="0" w:num="1">
            <w:col w:w="11420"/>
          </w:cols>
          <w:pgMar w:left="240" w:top="270" w:right="239" w:bottom="1440" w:gutter="0" w:footer="0" w:header="0"/>
        </w:sectPr>
      </w:pPr>
    </w:p>
    <w:p>
      <w:pPr>
        <w:spacing w:after="0" w:line="21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If to any Loan Party: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 </w:t>
      </w:r>
      <w:r>
        <w:rPr>
          <w:rFonts w:ascii="Arial" w:cs="Arial" w:eastAsia="Arial" w:hAnsi="Arial"/>
          <w:sz w:val="18"/>
          <w:szCs w:val="18"/>
          <w:b w:val="1"/>
          <w:bCs w:val="1"/>
          <w:color w:val="auto"/>
        </w:rPr>
        <w:t>NOW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7402 North Eldridge Parkway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(281) 466-4592</w:t>
      </w:r>
    </w:p>
    <w:p>
      <w:pPr>
        <w:spacing w:after="0" w:line="116"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Haynes and Boone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1221 McKinney Street, Suite 2100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TX 77010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Neal M. Kaminsky,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(713) 236-5608</w:t>
      </w:r>
    </w:p>
    <w:p>
      <w:pPr>
        <w:spacing w:after="0" w:line="112"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If to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1100 Abernathy Road,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Loan Portfolio Manager—dNOW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(855) 260-0212</w:t>
      </w:r>
    </w:p>
    <w:p>
      <w:pPr>
        <w:spacing w:after="0" w:line="112"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GOLDBERG KOHN LTD.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55 East Monroe Street, Suite 3300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Jessica DeBruin,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(312) 863-7857</w:t>
      </w:r>
    </w:p>
    <w:p>
      <w:pPr>
        <w:spacing w:after="0" w:line="20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2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Any party hereto may change the address at which they are to receive notices hereunder, by notice in writing in the foregoing manner given to the other party. All notices or demands sent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deemed received on the earlier of the date of actual receipt or three Business Days after the deposit thereof in the mail;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270" w:right="239" w:bottom="1440" w:gutter="0" w:footer="0" w:header="0"/>
          <w:type w:val="continuous"/>
        </w:sectPr>
      </w:pPr>
    </w:p>
    <w:bookmarkStart w:id="195" w:name="page196"/>
    <w:bookmarkEnd w:id="195"/>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CHOICE OF LAW AND VENUE; JURY TRIAL WAIVER; JUDICIAL REFERENCE PROVISION.</w:t>
      </w:r>
    </w:p>
    <w:p>
      <w:pPr>
        <w:spacing w:after="0" w:line="117" w:lineRule="exact"/>
        <w:rPr>
          <w:rFonts w:ascii="Arial" w:cs="Arial" w:eastAsia="Arial" w:hAnsi="Arial"/>
          <w:sz w:val="18"/>
          <w:szCs w:val="18"/>
          <w:color w:val="auto"/>
        </w:rPr>
      </w:pPr>
    </w:p>
    <w:p>
      <w:pPr>
        <w:ind w:left="-8" w:right="120" w:firstLine="921"/>
        <w:spacing w:after="0" w:line="256" w:lineRule="auto"/>
        <w:tabs>
          <w:tab w:leader="none" w:pos="1149" w:val="left"/>
        </w:tabs>
        <w:numPr>
          <w:ilvl w:val="1"/>
          <w:numId w:val="234"/>
        </w:numPr>
        <w:rPr>
          <w:rFonts w:ascii="Arial" w:cs="Arial" w:eastAsia="Arial" w:hAnsi="Arial"/>
          <w:sz w:val="18"/>
          <w:szCs w:val="18"/>
          <w:color w:val="auto"/>
        </w:rPr>
      </w:pPr>
      <w:r>
        <w:rPr>
          <w:rFonts w:ascii="Arial" w:cs="Arial" w:eastAsia="Arial" w:hAnsi="Arial"/>
          <w:sz w:val="18"/>
          <w:szCs w:val="18"/>
          <w:b w:val="1"/>
          <w:bCs w:val="1"/>
          <w:color w:val="auto"/>
        </w:rPr>
        <w:t xml:space="preserve">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 </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8" w:firstLine="921"/>
        <w:spacing w:after="0" w:line="254" w:lineRule="auto"/>
        <w:tabs>
          <w:tab w:leader="none" w:pos="1160" w:val="left"/>
        </w:tabs>
        <w:numPr>
          <w:ilvl w:val="1"/>
          <w:numId w:val="234"/>
        </w:numPr>
        <w:rPr>
          <w:rFonts w:ascii="Arial" w:cs="Arial" w:eastAsia="Arial" w:hAnsi="Arial"/>
          <w:sz w:val="18"/>
          <w:szCs w:val="18"/>
          <w:color w:val="auto"/>
        </w:rPr>
      </w:pPr>
      <w:r>
        <w:rPr>
          <w:rFonts w:ascii="Arial" w:cs="Arial" w:eastAsia="Arial" w:hAnsi="Arial"/>
          <w:sz w:val="18"/>
          <w:szCs w:val="18"/>
          <w:b w:val="1"/>
          <w:bCs w:val="1"/>
          <w:color w:val="auto"/>
        </w:rPr>
        <w:t xml:space="preserve">THE PARTIES AGREE THAT ALL ACTIONS OR PROCEEDINGS ARISING IN CONNECTION WITH THIS AGREEMENT AND THE OTHER LOAN DOCUMENTS SHALL BE TRIED AND LITIGATED ONLY IN THE STATE AND, TO THE EXTENT PERMITTED BY APPLICABLE LAW, FEDERAL COURTS LOCATED IN THE COUNTY OF NEW YORK, STATE OF NEW YORK;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THAT ANY SUIT SEEKING ENFORCEMENT AGAINST ANY COLLATERAL OR OTHER PROPERTY MAY BE BROUGHT, AT AGENT’S OPTION, IN THE COURTS OF ANY JURISDICTION WHERE AGENT ELECTS TO BRING SUCH ACTION OR WHERE SUCH COLLATERAL OR OTHER PROPERTY MAY BE FOUND. EACH OF PARENT AND EACH BORROWER AND EACH MEMBER OF THE LENDER GROUP WAIVE, TO THE EXTENT PERMITTED UNDER APPLICABLE LAW, ANY RIGHT EACH MAY HAVE TO ASSERT THE DOCTRINE OF FORUM NON CONVENIENS OR TO OBJECT TO VENUE TO THE EXTENT ANY PROCEEDING IS BROUGHT IN ACCORDANCE WITH THIS SECTION 12(b).</w:t>
      </w:r>
    </w:p>
    <w:p>
      <w:pPr>
        <w:spacing w:after="0" w:line="81" w:lineRule="exact"/>
        <w:rPr>
          <w:rFonts w:ascii="Arial" w:cs="Arial" w:eastAsia="Arial" w:hAnsi="Arial"/>
          <w:sz w:val="18"/>
          <w:szCs w:val="18"/>
          <w:color w:val="auto"/>
        </w:rPr>
      </w:pPr>
    </w:p>
    <w:p>
      <w:pPr>
        <w:ind w:left="-8" w:right="40" w:firstLine="921"/>
        <w:spacing w:after="0" w:line="254" w:lineRule="auto"/>
        <w:tabs>
          <w:tab w:leader="none" w:pos="1149" w:val="left"/>
        </w:tabs>
        <w:numPr>
          <w:ilvl w:val="1"/>
          <w:numId w:val="234"/>
        </w:numPr>
        <w:rPr>
          <w:rFonts w:ascii="Arial" w:cs="Arial" w:eastAsia="Arial" w:hAnsi="Arial"/>
          <w:sz w:val="18"/>
          <w:szCs w:val="18"/>
          <w:color w:val="auto"/>
        </w:rPr>
      </w:pPr>
      <w:r>
        <w:rPr>
          <w:rFonts w:ascii="Arial" w:cs="Arial" w:eastAsia="Arial" w:hAnsi="Arial"/>
          <w:sz w:val="18"/>
          <w:szCs w:val="18"/>
          <w:b w:val="1"/>
          <w:bCs w:val="1"/>
          <w:color w:val="auto"/>
        </w:rPr>
        <w:t>TO THE MAXIMUM EXTENT PERMITTED BY APPLICABLE LAW, EACH OF PARENT AND EACH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w:t>
      </w:r>
      <w:r>
        <w:rPr>
          <w:rFonts w:ascii="Arial" w:cs="Arial" w:eastAsia="Arial" w:hAnsi="Arial"/>
          <w:sz w:val="18"/>
          <w:szCs w:val="18"/>
          <w:b w:val="1"/>
          <w:bCs w:val="1"/>
          <w:u w:val="single" w:color="auto"/>
          <w:color w:val="auto"/>
        </w:rPr>
        <w:t>CLAIM</w:t>
      </w:r>
      <w:r>
        <w:rPr>
          <w:rFonts w:ascii="Arial" w:cs="Arial" w:eastAsia="Arial" w:hAnsi="Arial"/>
          <w:sz w:val="18"/>
          <w:szCs w:val="18"/>
          <w:b w:val="1"/>
          <w:bCs w:val="1"/>
          <w:color w:val="auto"/>
        </w:rPr>
        <w:t>”). EACH OF PARENT AND EACH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2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92"/>
          </w:cols>
          <w:pgMar w:left="248" w:top="270" w:right="359" w:bottom="1440" w:gutter="0" w:footer="0" w:header="0"/>
        </w:sectPr>
      </w:pPr>
    </w:p>
    <w:bookmarkStart w:id="196" w:name="page197"/>
    <w:bookmarkEnd w:id="196"/>
    <w:p>
      <w:pPr>
        <w:ind w:left="1180" w:hanging="259"/>
        <w:spacing w:after="0"/>
        <w:tabs>
          <w:tab w:leader="none" w:pos="1180" w:val="left"/>
        </w:tabs>
        <w:numPr>
          <w:ilvl w:val="1"/>
          <w:numId w:val="23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HERETO HEREBY IRREVOCABLY AND UNCONDITIONALLY SUBMITS TO THE EXCLUSIVE</w:t>
      </w:r>
    </w:p>
    <w:p>
      <w:pPr>
        <w:spacing w:after="0" w:line="27" w:lineRule="exact"/>
        <w:rPr>
          <w:rFonts w:ascii="Arial" w:cs="Arial" w:eastAsia="Arial" w:hAnsi="Arial"/>
          <w:sz w:val="18"/>
          <w:szCs w:val="18"/>
          <w:color w:val="auto"/>
        </w:rPr>
      </w:pPr>
    </w:p>
    <w:p>
      <w:pPr>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JURISDICTION OF THE STATE AND FEDERAL COURTS LOCATED IN THE COUNTY OF NEW YORK AND THE STATE OF NEW YORK,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80" w:lineRule="exact"/>
        <w:rPr>
          <w:rFonts w:ascii="Arial" w:cs="Arial" w:eastAsia="Arial" w:hAnsi="Arial"/>
          <w:sz w:val="18"/>
          <w:szCs w:val="18"/>
          <w:color w:val="auto"/>
        </w:rPr>
      </w:pPr>
    </w:p>
    <w:p>
      <w:pPr>
        <w:ind w:right="160" w:firstLine="921"/>
        <w:spacing w:after="0" w:line="255" w:lineRule="auto"/>
        <w:tabs>
          <w:tab w:leader="none" w:pos="1157" w:val="left"/>
        </w:tabs>
        <w:numPr>
          <w:ilvl w:val="1"/>
          <w:numId w:val="235"/>
        </w:numPr>
        <w:rPr>
          <w:rFonts w:ascii="Arial" w:cs="Arial" w:eastAsia="Arial" w:hAnsi="Arial"/>
          <w:sz w:val="18"/>
          <w:szCs w:val="18"/>
          <w:color w:val="auto"/>
        </w:rPr>
      </w:pPr>
      <w:r>
        <w:rPr>
          <w:rFonts w:ascii="Arial" w:cs="Arial" w:eastAsia="Arial" w:hAnsi="Arial"/>
          <w:sz w:val="18"/>
          <w:szCs w:val="18"/>
          <w:b w:val="1"/>
          <w:bCs w:val="1"/>
          <w:color w:val="auto"/>
        </w:rPr>
        <w:t>NO CLAIM MAY BE MADE BY ANY PARTY HERETO,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PARTY HERETO HEREBY WAIVES, RELEASES, AND AGREES NOT TO SUE UPON ANY CLAIM FOR SUCH DAMAGES, WHETHER OR NOT ACCRUED AND WHETHER OR NOT KNOWN OR SUSPECTED TO EXIST IN ITS FAVOR.</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ASSIGNMENTS AND PARTICIPATIONS; SUCCESSORS.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13.1. </w:t>
      </w:r>
      <w:r>
        <w:rPr>
          <w:rFonts w:ascii="Arial" w:cs="Arial" w:eastAsia="Arial" w:hAnsi="Arial"/>
          <w:sz w:val="18"/>
          <w:szCs w:val="18"/>
          <w:b w:val="1"/>
          <w:bCs w:val="1"/>
          <w:u w:val="single" w:color="auto"/>
          <w:color w:val="auto"/>
        </w:rPr>
        <w:t>Assignments and Participations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240" w:firstLine="921"/>
        <w:spacing w:after="0" w:line="286" w:lineRule="auto"/>
        <w:tabs>
          <w:tab w:leader="none" w:pos="1158" w:val="left"/>
        </w:tabs>
        <w:numPr>
          <w:ilvl w:val="1"/>
          <w:numId w:val="236"/>
        </w:numPr>
        <w:rPr>
          <w:rFonts w:ascii="Arial" w:cs="Arial" w:eastAsia="Arial" w:hAnsi="Arial"/>
          <w:sz w:val="17"/>
          <w:szCs w:val="17"/>
          <w:color w:val="auto"/>
        </w:rPr>
      </w:pPr>
      <w:r>
        <w:rPr>
          <w:rFonts w:ascii="Arial" w:cs="Arial" w:eastAsia="Arial" w:hAnsi="Arial"/>
          <w:sz w:val="17"/>
          <w:szCs w:val="17"/>
          <w:color w:val="auto"/>
        </w:rPr>
        <w:t>(i) Subject to the conditions set forth in clause (a)(ii)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Arial" w:cs="Arial" w:eastAsia="Arial" w:hAnsi="Arial"/>
          <w:sz w:val="17"/>
          <w:szCs w:val="17"/>
          <w:u w:val="single" w:color="auto"/>
          <w:color w:val="auto"/>
        </w:rPr>
        <w:t>Assignee</w:t>
      </w:r>
      <w:r>
        <w:rPr>
          <w:rFonts w:ascii="Arial" w:cs="Arial" w:eastAsia="Arial" w:hAnsi="Arial"/>
          <w:sz w:val="17"/>
          <w:szCs w:val="17"/>
          <w:color w:val="auto"/>
        </w:rPr>
        <w:t>”), with the prior written consent (such consent not be unreasonably withheld or delayed) of:</w:t>
      </w:r>
    </w:p>
    <w:p>
      <w:pPr>
        <w:spacing w:after="0" w:line="57" w:lineRule="exact"/>
        <w:rPr>
          <w:rFonts w:ascii="Arial" w:cs="Arial" w:eastAsia="Arial" w:hAnsi="Arial"/>
          <w:sz w:val="17"/>
          <w:szCs w:val="17"/>
          <w:color w:val="auto"/>
        </w:rPr>
      </w:pPr>
    </w:p>
    <w:p>
      <w:pPr>
        <w:jc w:val="both"/>
        <w:ind w:right="100" w:firstLine="1948"/>
        <w:spacing w:after="0" w:line="259" w:lineRule="auto"/>
        <w:tabs>
          <w:tab w:leader="none" w:pos="2235" w:val="left"/>
        </w:tabs>
        <w:numPr>
          <w:ilvl w:val="2"/>
          <w:numId w:val="236"/>
        </w:numPr>
        <w:rPr>
          <w:rFonts w:ascii="Arial" w:cs="Arial" w:eastAsia="Arial" w:hAnsi="Arial"/>
          <w:sz w:val="18"/>
          <w:szCs w:val="18"/>
          <w:color w:val="auto"/>
        </w:rPr>
      </w:pPr>
      <w:r>
        <w:rPr>
          <w:rFonts w:ascii="Arial" w:cs="Arial" w:eastAsia="Arial" w:hAnsi="Arial"/>
          <w:sz w:val="18"/>
          <w:szCs w:val="18"/>
          <w:color w:val="auto"/>
        </w:rPr>
        <w:t xml:space="preserve">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Borrowers shall be required (1) if an Event of Default has occurred and is continuing, or (2) in connection with an assignment to a Person that is a Lender or an Affiliate (other than natural persons) of a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Borrowers shall be deemed to have consented to a proposed assignment unless they object thereto by written notice to Agent within five Business Days after having received notice thereof; and</w:t>
      </w:r>
    </w:p>
    <w:p>
      <w:pPr>
        <w:spacing w:after="0" w:line="78" w:lineRule="exact"/>
        <w:rPr>
          <w:rFonts w:ascii="Arial" w:cs="Arial" w:eastAsia="Arial" w:hAnsi="Arial"/>
          <w:sz w:val="18"/>
          <w:szCs w:val="18"/>
          <w:color w:val="auto"/>
        </w:rPr>
      </w:pPr>
    </w:p>
    <w:p>
      <w:pPr>
        <w:ind w:left="2240" w:hanging="292"/>
        <w:spacing w:after="0"/>
        <w:tabs>
          <w:tab w:leader="none" w:pos="2240" w:val="left"/>
        </w:tabs>
        <w:numPr>
          <w:ilvl w:val="2"/>
          <w:numId w:val="236"/>
        </w:numPr>
        <w:rPr>
          <w:rFonts w:ascii="Arial" w:cs="Arial" w:eastAsia="Arial" w:hAnsi="Arial"/>
          <w:sz w:val="18"/>
          <w:szCs w:val="18"/>
          <w:color w:val="auto"/>
        </w:rPr>
      </w:pPr>
      <w:r>
        <w:rPr>
          <w:rFonts w:ascii="Arial" w:cs="Arial" w:eastAsia="Arial" w:hAnsi="Arial"/>
          <w:sz w:val="18"/>
          <w:szCs w:val="18"/>
          <w:color w:val="auto"/>
        </w:rPr>
        <w:t>Agent, Swing Lender, and each Issuing Lender.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270" w:right="239" w:bottom="1440" w:gutter="0" w:footer="0" w:header="0"/>
        </w:sectPr>
      </w:pPr>
    </w:p>
    <w:bookmarkStart w:id="197" w:name="page198"/>
    <w:bookmarkEnd w:id="197"/>
    <w:p>
      <w:pPr>
        <w:ind w:left="1760" w:hanging="268"/>
        <w:spacing w:after="0"/>
        <w:tabs>
          <w:tab w:leader="none" w:pos="17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Assignments shall be subject to the following additional conditions:</w:t>
      </w:r>
    </w:p>
    <w:p>
      <w:pPr>
        <w:spacing w:after="0" w:line="117" w:lineRule="exact"/>
        <w:rPr>
          <w:rFonts w:ascii="Arial" w:cs="Arial" w:eastAsia="Arial" w:hAnsi="Arial"/>
          <w:sz w:val="18"/>
          <w:szCs w:val="18"/>
          <w:color w:val="auto"/>
        </w:rPr>
      </w:pPr>
    </w:p>
    <w:p>
      <w:pPr>
        <w:ind w:left="2240" w:hanging="292"/>
        <w:spacing w:after="0"/>
        <w:tabs>
          <w:tab w:leader="none" w:pos="224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no assignment may be made (i) so long as no Specified Event of Default has occurred and is continuing, to a Competitor,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a natural person,</w:t>
      </w:r>
    </w:p>
    <w:p>
      <w:pPr>
        <w:spacing w:after="0" w:line="102" w:lineRule="exact"/>
        <w:rPr>
          <w:rFonts w:ascii="Arial" w:cs="Arial" w:eastAsia="Arial" w:hAnsi="Arial"/>
          <w:sz w:val="18"/>
          <w:szCs w:val="18"/>
          <w:color w:val="auto"/>
        </w:rPr>
      </w:pPr>
    </w:p>
    <w:p>
      <w:pPr>
        <w:ind w:left="2240" w:hanging="292"/>
        <w:spacing w:after="0"/>
        <w:tabs>
          <w:tab w:leader="none" w:pos="224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no assignment may be made to a Loan Party or an Affiliate of a Loan Party,</w:t>
      </w:r>
    </w:p>
    <w:p>
      <w:pPr>
        <w:spacing w:after="0" w:line="117" w:lineRule="exact"/>
        <w:rPr>
          <w:rFonts w:ascii="Arial" w:cs="Arial" w:eastAsia="Arial" w:hAnsi="Arial"/>
          <w:sz w:val="18"/>
          <w:szCs w:val="18"/>
          <w:color w:val="auto"/>
        </w:rPr>
      </w:pPr>
    </w:p>
    <w:p>
      <w:pPr>
        <w:ind w:right="120" w:firstLine="1948"/>
        <w:spacing w:after="0" w:line="255" w:lineRule="auto"/>
        <w:tabs>
          <w:tab w:leader="none" w:pos="2225"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85" w:lineRule="exact"/>
        <w:rPr>
          <w:rFonts w:ascii="Arial" w:cs="Arial" w:eastAsia="Arial" w:hAnsi="Arial"/>
          <w:sz w:val="18"/>
          <w:szCs w:val="18"/>
          <w:color w:val="auto"/>
        </w:rPr>
      </w:pPr>
    </w:p>
    <w:p>
      <w:pPr>
        <w:ind w:right="660" w:firstLine="1948"/>
        <w:spacing w:after="0" w:line="277" w:lineRule="auto"/>
        <w:tabs>
          <w:tab w:leader="none" w:pos="2235" w:val="left"/>
        </w:tabs>
        <w:numPr>
          <w:ilvl w:val="2"/>
          <w:numId w:val="238"/>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62" w:lineRule="exact"/>
        <w:rPr>
          <w:rFonts w:ascii="Arial" w:cs="Arial" w:eastAsia="Arial" w:hAnsi="Arial"/>
          <w:sz w:val="18"/>
          <w:szCs w:val="18"/>
          <w:color w:val="auto"/>
        </w:rPr>
      </w:pPr>
    </w:p>
    <w:p>
      <w:pPr>
        <w:ind w:firstLine="1948"/>
        <w:spacing w:after="0" w:line="259" w:lineRule="auto"/>
        <w:tabs>
          <w:tab w:leader="none" w:pos="2215" w:val="left"/>
        </w:tabs>
        <w:numPr>
          <w:ilvl w:val="2"/>
          <w:numId w:val="238"/>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Agent an Assignment and Acceptance; </w:t>
      </w:r>
      <w:r>
        <w:rPr>
          <w:rFonts w:ascii="Arial" w:cs="Arial" w:eastAsia="Arial" w:hAnsi="Arial"/>
          <w:sz w:val="18"/>
          <w:szCs w:val="18"/>
          <w:u w:val="single" w:color="auto"/>
          <w:color w:val="auto"/>
        </w:rPr>
        <w:t>provided</w:t>
      </w:r>
      <w:r>
        <w:rPr>
          <w:rFonts w:ascii="Arial" w:cs="Arial" w:eastAsia="Arial" w:hAnsi="Arial"/>
          <w:sz w:val="18"/>
          <w:szCs w:val="18"/>
          <w:color w:val="auto"/>
        </w:rPr>
        <w:t>,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78" w:lineRule="exact"/>
        <w:rPr>
          <w:rFonts w:ascii="Arial" w:cs="Arial" w:eastAsia="Arial" w:hAnsi="Arial"/>
          <w:sz w:val="18"/>
          <w:szCs w:val="18"/>
          <w:color w:val="auto"/>
        </w:rPr>
      </w:pPr>
    </w:p>
    <w:p>
      <w:pPr>
        <w:ind w:left="2220" w:hanging="272"/>
        <w:spacing w:after="0"/>
        <w:tabs>
          <w:tab w:leader="none" w:pos="2220" w:val="left"/>
        </w:tabs>
        <w:numPr>
          <w:ilvl w:val="2"/>
          <w:numId w:val="238"/>
        </w:numPr>
        <w:rPr>
          <w:rFonts w:ascii="Arial" w:cs="Arial" w:eastAsia="Arial" w:hAnsi="Arial"/>
          <w:sz w:val="16"/>
          <w:szCs w:val="16"/>
          <w:color w:val="auto"/>
        </w:rPr>
      </w:pPr>
      <w:r>
        <w:rPr>
          <w:rFonts w:ascii="Arial" w:cs="Arial" w:eastAsia="Arial" w:hAnsi="Arial"/>
          <w:sz w:val="16"/>
          <w:szCs w:val="16"/>
          <w:color w:val="auto"/>
        </w:rPr>
        <w:t>unless waived by Agent, the assigning Lender or Assignee has paid to Agent, for Agent’s separate account, a processing fee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amount of $3,500, and</w:t>
      </w:r>
    </w:p>
    <w:p>
      <w:pPr>
        <w:spacing w:after="0" w:line="102" w:lineRule="exact"/>
        <w:rPr>
          <w:rFonts w:ascii="Arial" w:cs="Arial" w:eastAsia="Arial" w:hAnsi="Arial"/>
          <w:sz w:val="16"/>
          <w:szCs w:val="16"/>
          <w:color w:val="auto"/>
        </w:rPr>
      </w:pPr>
    </w:p>
    <w:p>
      <w:pPr>
        <w:ind w:left="2240" w:hanging="292"/>
        <w:spacing w:after="0"/>
        <w:tabs>
          <w:tab w:leader="none" w:pos="2240" w:val="left"/>
        </w:tabs>
        <w:numPr>
          <w:ilvl w:val="2"/>
          <w:numId w:val="238"/>
        </w:numPr>
        <w:rPr>
          <w:rFonts w:ascii="Arial" w:cs="Arial" w:eastAsia="Arial" w:hAnsi="Arial"/>
          <w:sz w:val="17"/>
          <w:szCs w:val="17"/>
          <w:color w:val="auto"/>
        </w:rPr>
      </w:pPr>
      <w:r>
        <w:rPr>
          <w:rFonts w:ascii="Arial" w:cs="Arial" w:eastAsia="Arial" w:hAnsi="Arial"/>
          <w:sz w:val="17"/>
          <w:szCs w:val="17"/>
          <w:color w:val="auto"/>
        </w:rPr>
        <w:t>the assignee, if it is not a Lender, shall deliver to Agent an Administrative Questionnaire in a form approved by Agent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w:t>
      </w:r>
    </w:p>
    <w:p>
      <w:pPr>
        <w:spacing w:after="0" w:line="103" w:lineRule="exact"/>
        <w:rPr>
          <w:sz w:val="20"/>
          <w:szCs w:val="20"/>
          <w:color w:val="auto"/>
        </w:rPr>
      </w:pPr>
    </w:p>
    <w:p>
      <w:pPr>
        <w:ind w:right="140" w:firstLine="921"/>
        <w:spacing w:after="0" w:line="290" w:lineRule="auto"/>
        <w:tabs>
          <w:tab w:leader="none" w:pos="116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17.9(a)</w:t>
      </w:r>
      <w:r>
        <w:rPr>
          <w:rFonts w:ascii="Arial" w:cs="Arial" w:eastAsia="Arial" w:hAnsi="Arial"/>
          <w:sz w:val="16"/>
          <w:szCs w:val="16"/>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274" w:right="259" w:bottom="1440" w:gutter="0" w:footer="0" w:header="0"/>
        </w:sectPr>
      </w:pPr>
    </w:p>
    <w:bookmarkStart w:id="198" w:name="page199"/>
    <w:bookmarkEnd w:id="198"/>
    <w:p>
      <w:pPr>
        <w:ind w:left="-100" w:firstLine="921"/>
        <w:spacing w:after="0" w:line="268" w:lineRule="auto"/>
        <w:tabs>
          <w:tab w:leader="none" w:pos="1058" w:val="left"/>
        </w:tabs>
        <w:numPr>
          <w:ilvl w:val="0"/>
          <w:numId w:val="2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79" w:lineRule="exact"/>
        <w:rPr>
          <w:rFonts w:ascii="Arial" w:cs="Arial" w:eastAsia="Arial" w:hAnsi="Arial"/>
          <w:sz w:val="17"/>
          <w:szCs w:val="17"/>
          <w:color w:val="auto"/>
        </w:rPr>
      </w:pPr>
    </w:p>
    <w:p>
      <w:pPr>
        <w:ind w:left="-100" w:right="60" w:firstLine="921"/>
        <w:spacing w:after="0" w:line="259" w:lineRule="auto"/>
        <w:tabs>
          <w:tab w:leader="none" w:pos="106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Immediately upon Agent’s receipt of the required processing fee, if applicable, and delivery of notice to the assigning Lender pursuant to </w:t>
      </w:r>
      <w:r>
        <w:rPr>
          <w:rFonts w:ascii="Arial" w:cs="Arial" w:eastAsia="Arial" w:hAnsi="Arial"/>
          <w:sz w:val="18"/>
          <w:szCs w:val="18"/>
          <w:u w:val="single" w:color="auto"/>
          <w:color w:val="auto"/>
        </w:rPr>
        <w:t>Section 13.1(b)</w:t>
      </w:r>
      <w:r>
        <w:rPr>
          <w:rFonts w:ascii="Arial" w:cs="Arial" w:eastAsia="Arial" w:hAnsi="Arial"/>
          <w:sz w:val="18"/>
          <w:szCs w:val="18"/>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18"/>
          <w:szCs w:val="18"/>
          <w:i w:val="1"/>
          <w:iCs w:val="1"/>
          <w:color w:val="auto"/>
        </w:rPr>
        <w:t>pro tanto</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0" w:right="80" w:firstLine="921"/>
        <w:spacing w:after="0" w:line="270" w:lineRule="auto"/>
        <w:tabs>
          <w:tab w:leader="none" w:pos="105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Lender may at any time sell to one or more commercial banks, financial institutions, or other Persons (a “</w:t>
      </w:r>
      <w:r>
        <w:rPr>
          <w:rFonts w:ascii="Arial" w:cs="Arial" w:eastAsia="Arial" w:hAnsi="Arial"/>
          <w:sz w:val="17"/>
          <w:szCs w:val="17"/>
          <w:u w:val="single" w:color="auto"/>
          <w:color w:val="auto"/>
        </w:rPr>
        <w:t>Participant</w:t>
      </w:r>
      <w:r>
        <w:rPr>
          <w:rFonts w:ascii="Arial" w:cs="Arial" w:eastAsia="Arial" w:hAnsi="Arial"/>
          <w:sz w:val="17"/>
          <w:szCs w:val="17"/>
          <w:color w:val="auto"/>
        </w:rPr>
        <w:t>”) participating interests in all or any portion of its Obligations, its Commitment, and the other rights and interests of that Lender (the “</w:t>
      </w:r>
      <w:r>
        <w:rPr>
          <w:rFonts w:ascii="Arial" w:cs="Arial" w:eastAsia="Arial" w:hAnsi="Arial"/>
          <w:sz w:val="17"/>
          <w:szCs w:val="17"/>
          <w:u w:val="single" w:color="auto"/>
          <w:color w:val="auto"/>
        </w:rPr>
        <w:t>Originating Lender</w:t>
      </w:r>
      <w:r>
        <w:rPr>
          <w:rFonts w:ascii="Arial" w:cs="Arial" w:eastAsia="Arial" w:hAnsi="Arial"/>
          <w:sz w:val="17"/>
          <w:szCs w:val="17"/>
          <w:color w:val="auto"/>
        </w:rPr>
        <w:t xml:space="preserve">”) hereunder and under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40" w:top="274" w:right="319" w:bottom="1440" w:gutter="0" w:footer="0" w:header="0"/>
        </w:sectPr>
      </w:pPr>
    </w:p>
    <w:bookmarkStart w:id="199" w:name="page200"/>
    <w:bookmarkEnd w:id="19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Borrowers hereunder shall be determined as if such Lender had not sold such participation (provided any Participant shall be entitled to the benefits of Section 16 as if it were a Lender provided that such Participant complies with its obligations specified in Section 16),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64" w:lineRule="exact"/>
        <w:rPr>
          <w:sz w:val="20"/>
          <w:szCs w:val="20"/>
          <w:color w:val="auto"/>
        </w:rPr>
      </w:pPr>
    </w:p>
    <w:p>
      <w:pPr>
        <w:ind w:right="380" w:firstLine="921"/>
        <w:spacing w:after="0" w:line="286" w:lineRule="auto"/>
        <w:tabs>
          <w:tab w:leader="none" w:pos="113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Arial" w:cs="Arial" w:eastAsia="Arial" w:hAnsi="Arial"/>
          <w:sz w:val="17"/>
          <w:szCs w:val="17"/>
          <w:u w:val="single" w:color="auto"/>
          <w:color w:val="auto"/>
        </w:rPr>
        <w:t>Section 17.9</w:t>
      </w:r>
      <w:r>
        <w:rPr>
          <w:rFonts w:ascii="Arial" w:cs="Arial" w:eastAsia="Arial" w:hAnsi="Arial"/>
          <w:sz w:val="17"/>
          <w:szCs w:val="17"/>
          <w:color w:val="auto"/>
        </w:rPr>
        <w:t>, disclose all documents and information which it now or hereafter may have relating to any Loan Party and its Subsidiaries and their respective businesses.</w:t>
      </w:r>
    </w:p>
    <w:p>
      <w:pPr>
        <w:spacing w:after="0" w:line="57" w:lineRule="exact"/>
        <w:rPr>
          <w:rFonts w:ascii="Arial" w:cs="Arial" w:eastAsia="Arial" w:hAnsi="Arial"/>
          <w:sz w:val="17"/>
          <w:szCs w:val="17"/>
          <w:color w:val="auto"/>
        </w:rPr>
      </w:pPr>
    </w:p>
    <w:p>
      <w:pPr>
        <w:ind w:right="40" w:firstLine="921"/>
        <w:spacing w:after="0" w:line="297" w:lineRule="auto"/>
        <w:tabs>
          <w:tab w:leader="none" w:pos="116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or the Bank of Canada in accordance with Regulation A of the Federal Reserve Bank or U.S. Treasury Regulation 31 CFR §203.24 or other applicable law, and such Federal Reserve Bank or the Bank of Canada may enforce such pledge or security interest in any manner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shall release such Lender from any of its obligations hereunder or substitute any such pledgee or assignee for such Lender as a party hereto.</w:t>
      </w:r>
    </w:p>
    <w:p>
      <w:pPr>
        <w:spacing w:after="0" w:line="50" w:lineRule="exact"/>
        <w:rPr>
          <w:rFonts w:ascii="Arial" w:cs="Arial" w:eastAsia="Arial" w:hAnsi="Arial"/>
          <w:sz w:val="16"/>
          <w:szCs w:val="16"/>
          <w:color w:val="auto"/>
        </w:rPr>
      </w:pPr>
    </w:p>
    <w:p>
      <w:pPr>
        <w:ind w:right="100" w:firstLine="921"/>
        <w:spacing w:after="0" w:line="259" w:lineRule="auto"/>
        <w:tabs>
          <w:tab w:leader="none" w:pos="116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Agent (as a non-fiduciary agent on behalf of Borrowers) shall maintain, or cause to be maintained, a register (the “</w:t>
      </w:r>
      <w:r>
        <w:rPr>
          <w:rFonts w:ascii="Arial" w:cs="Arial" w:eastAsia="Arial" w:hAnsi="Arial"/>
          <w:sz w:val="18"/>
          <w:szCs w:val="18"/>
          <w:u w:val="single" w:color="auto"/>
          <w:color w:val="auto"/>
        </w:rPr>
        <w:t>Register</w:t>
      </w:r>
      <w:r>
        <w:rPr>
          <w:rFonts w:ascii="Arial" w:cs="Arial" w:eastAsia="Arial" w:hAnsi="Arial"/>
          <w:sz w:val="18"/>
          <w:szCs w:val="18"/>
          <w:color w:val="auto"/>
        </w:rPr>
        <w:t>”) on which it enters the name and address of each Lender as the registered owner of the Revolving Loan (and the principal amount thereof and stated interest thereon) held by such Lender (each, a “</w:t>
      </w:r>
      <w:r>
        <w:rPr>
          <w:rFonts w:ascii="Arial" w:cs="Arial" w:eastAsia="Arial" w:hAnsi="Arial"/>
          <w:sz w:val="18"/>
          <w:szCs w:val="18"/>
          <w:u w:val="single" w:color="auto"/>
          <w:color w:val="auto"/>
        </w:rPr>
        <w:t>Registered Loan</w:t>
      </w:r>
      <w:r>
        <w:rPr>
          <w:rFonts w:ascii="Arial" w:cs="Arial" w:eastAsia="Arial" w:hAnsi="Arial"/>
          <w:sz w:val="18"/>
          <w:szCs w:val="18"/>
          <w:color w:val="auto"/>
        </w:rPr>
        <w:t>”). Other than in connection with an assignment by a Lender of all or any portion of its portion of the Revolving Loan to an Affiliate of such Lender or a Related Fund of such Lender (i) a Registered Loan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274" w:right="239" w:bottom="1440" w:gutter="0" w:footer="0" w:header="0"/>
        </w:sectPr>
      </w:pPr>
    </w:p>
    <w:bookmarkStart w:id="200" w:name="page201"/>
    <w:bookmarkEnd w:id="200"/>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Revolving Loan to an Affiliate of such Lender or a Related Fund of such Lender, and which assignment is not recorded in the Register, the assigning Lender, on behalf of Borrowers, shall maintain a register comparable to the Register. It is intended that the Register be maintained such that the Loans are in “registered form” for the purposes of the IRC.</w:t>
      </w:r>
    </w:p>
    <w:p>
      <w:pPr>
        <w:spacing w:after="0" w:line="65" w:lineRule="exact"/>
        <w:rPr>
          <w:sz w:val="20"/>
          <w:szCs w:val="20"/>
          <w:color w:val="auto"/>
        </w:rPr>
      </w:pPr>
    </w:p>
    <w:p>
      <w:pPr>
        <w:ind w:firstLine="921"/>
        <w:spacing w:after="0" w:line="286" w:lineRule="auto"/>
        <w:tabs>
          <w:tab w:leader="none" w:pos="112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for the purposes of the IRC, including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It is intended that any Participant Register be maintained such that the Loans are in “registered form” for the purposes of the IRC.</w:t>
      </w:r>
    </w:p>
    <w:p>
      <w:pPr>
        <w:spacing w:after="0" w:line="66" w:lineRule="exact"/>
        <w:rPr>
          <w:rFonts w:ascii="Arial" w:cs="Arial" w:eastAsia="Arial" w:hAnsi="Arial"/>
          <w:sz w:val="16"/>
          <w:szCs w:val="16"/>
          <w:color w:val="auto"/>
        </w:rPr>
      </w:pPr>
    </w:p>
    <w:p>
      <w:pPr>
        <w:ind w:left="1140" w:hanging="219"/>
        <w:spacing w:after="0"/>
        <w:tabs>
          <w:tab w:leader="none" w:pos="11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Agent shall make a copy of the Register available for review by Borrowers from time to time as Borrowers may reasonably request.</w:t>
      </w:r>
    </w:p>
    <w:p>
      <w:pPr>
        <w:spacing w:after="0" w:line="128" w:lineRule="exact"/>
        <w:rPr>
          <w:rFonts w:ascii="Arial" w:cs="Arial" w:eastAsia="Arial" w:hAnsi="Arial"/>
          <w:sz w:val="17"/>
          <w:szCs w:val="17"/>
          <w:color w:val="auto"/>
        </w:rPr>
      </w:pPr>
    </w:p>
    <w:p>
      <w:pPr>
        <w:ind w:right="20" w:firstLine="921"/>
        <w:spacing w:after="0" w:line="264" w:lineRule="auto"/>
        <w:tabs>
          <w:tab w:leader="none" w:pos="116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no assignment may be made unless after giving effect thereto the Pro Rata Share of the US Revolver Commitments of a Lender and its Affiliates shall equal the Pro Rata Share of the Canadian Revolver Commitments of such Lender and its Affiliates and the Pro Rata Share of the UK Revolver Commitments of a Lender and its Affiliates.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274" w:right="239" w:bottom="1440" w:gutter="0" w:footer="0" w:header="0"/>
        </w:sectPr>
      </w:pPr>
    </w:p>
    <w:bookmarkStart w:id="201" w:name="page202"/>
    <w:bookmarkEnd w:id="201"/>
    <w:p>
      <w:pPr>
        <w:ind w:right="40" w:firstLine="456"/>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13.2. </w:t>
      </w: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xml:space="preserve">. This Agreement shall bind and inure to the benefit of the respective successors and assigns of each of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Borrower may assign this Agreement or any rights or duties hereunder without the Lenders’ prior written consent and any prohibited assignment shall be absolutely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No consent to assignment by the Lenders shall release any Borrower from its Obligations. A Lender may assign this Agreement and the other Loan Documents and its rights and duties hereunder and thereunder pursuant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and, except as expressly required pursuant to </w:t>
      </w:r>
      <w:r>
        <w:rPr>
          <w:rFonts w:ascii="Arial" w:cs="Arial" w:eastAsia="Arial" w:hAnsi="Arial"/>
          <w:sz w:val="17"/>
          <w:szCs w:val="17"/>
          <w:u w:val="single" w:color="auto"/>
          <w:color w:val="auto"/>
        </w:rPr>
        <w:t>Section 13.1</w:t>
      </w:r>
      <w:r>
        <w:rPr>
          <w:rFonts w:ascii="Arial" w:cs="Arial" w:eastAsia="Arial" w:hAnsi="Arial"/>
          <w:sz w:val="17"/>
          <w:szCs w:val="17"/>
          <w:color w:val="auto"/>
        </w:rPr>
        <w:t>, no consent or approval by any Borrower is required in connection with any such assignment.</w:t>
      </w:r>
    </w:p>
    <w:p>
      <w:pPr>
        <w:spacing w:after="0" w:line="317"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AMENDMENTS; WAIVERS.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21"/>
        <w:spacing w:after="0" w:line="297" w:lineRule="auto"/>
        <w:tabs>
          <w:tab w:leader="none" w:pos="115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No amendment, waiver or other modification of any provision of this Agreement or any other Loan Document (other than the Fee Letter), and no consent with respect to any departure by Parent or any Borrower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waiver, amendment, or consent shall, unless in writing and signed by all of the Lenders directly affected thereby and all of the Loan Parties that are party thereto, do any of the following:</w:t>
      </w:r>
    </w:p>
    <w:p>
      <w:pPr>
        <w:spacing w:after="0" w:line="50" w:lineRule="exact"/>
        <w:rPr>
          <w:rFonts w:ascii="Arial" w:cs="Arial" w:eastAsia="Arial" w:hAnsi="Arial"/>
          <w:sz w:val="16"/>
          <w:szCs w:val="16"/>
          <w:color w:val="auto"/>
        </w:rPr>
      </w:pPr>
    </w:p>
    <w:p>
      <w:pPr>
        <w:ind w:right="860" w:firstLine="1492"/>
        <w:spacing w:after="0" w:line="277" w:lineRule="auto"/>
        <w:tabs>
          <w:tab w:leader="none" w:pos="1698" w:val="left"/>
        </w:tabs>
        <w:numPr>
          <w:ilvl w:val="2"/>
          <w:numId w:val="243"/>
        </w:numPr>
        <w:rPr>
          <w:rFonts w:ascii="Arial" w:cs="Arial" w:eastAsia="Arial" w:hAnsi="Arial"/>
          <w:sz w:val="18"/>
          <w:szCs w:val="18"/>
          <w:color w:val="auto"/>
        </w:rPr>
      </w:pPr>
      <w:r>
        <w:rPr>
          <w:rFonts w:ascii="Arial" w:cs="Arial" w:eastAsia="Arial" w:hAnsi="Arial"/>
          <w:sz w:val="18"/>
          <w:szCs w:val="18"/>
          <w:color w:val="auto"/>
        </w:rPr>
        <w:t xml:space="preserve">increase the amount of or extend the expiration date of any Commitment of any Lender or amend, modify, or eliminate the penultimate sentence of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 w:firstLine="1492"/>
        <w:spacing w:after="0" w:line="277" w:lineRule="auto"/>
        <w:tabs>
          <w:tab w:leader="none" w:pos="1748" w:val="left"/>
        </w:tabs>
        <w:numPr>
          <w:ilvl w:val="2"/>
          <w:numId w:val="243"/>
        </w:numPr>
        <w:rPr>
          <w:rFonts w:ascii="Arial" w:cs="Arial" w:eastAsia="Arial" w:hAnsi="Arial"/>
          <w:sz w:val="18"/>
          <w:szCs w:val="18"/>
          <w:color w:val="auto"/>
        </w:rPr>
      </w:pPr>
      <w:r>
        <w:rPr>
          <w:rFonts w:ascii="Arial" w:cs="Arial" w:eastAsia="Arial" w:hAnsi="Arial"/>
          <w:sz w:val="18"/>
          <w:szCs w:val="18"/>
          <w:color w:val="auto"/>
        </w:rPr>
        <w:t>postpone or delay any date fixed by this Agreement or any other Loan Document for any payment of principal, interest, fees, or other amounts due hereunder or under any other Loan Document,</w:t>
      </w:r>
    </w:p>
    <w:p>
      <w:pPr>
        <w:spacing w:after="0" w:line="62" w:lineRule="exact"/>
        <w:rPr>
          <w:rFonts w:ascii="Arial" w:cs="Arial" w:eastAsia="Arial" w:hAnsi="Arial"/>
          <w:sz w:val="18"/>
          <w:szCs w:val="18"/>
          <w:color w:val="auto"/>
        </w:rPr>
      </w:pPr>
    </w:p>
    <w:p>
      <w:pPr>
        <w:ind w:right="20" w:firstLine="1492"/>
        <w:spacing w:after="0" w:line="279" w:lineRule="auto"/>
        <w:tabs>
          <w:tab w:leader="none" w:pos="1798" w:val="left"/>
        </w:tabs>
        <w:numPr>
          <w:ilvl w:val="2"/>
          <w:numId w:val="243"/>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on, any loan or other extension of credit hereunder, or reduce any fees or other amounts payable hereunder or under any other Loan Document (except (y) in connection with the waiver of applicability of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(which waiver shall be effective with the written consent of the Required Lenders), and (z) that any amendment or modification of defined terms used in the financial covenants in this Agreement shall not constitute a reduction in the rate of interest or a reduction of fees for purposes of this clause (iii)),</w:t>
      </w:r>
    </w:p>
    <w:p>
      <w:pPr>
        <w:spacing w:after="0" w:line="63" w:lineRule="exact"/>
        <w:rPr>
          <w:rFonts w:ascii="Arial" w:cs="Arial" w:eastAsia="Arial" w:hAnsi="Arial"/>
          <w:sz w:val="17"/>
          <w:szCs w:val="17"/>
          <w:color w:val="auto"/>
        </w:rPr>
      </w:pPr>
    </w:p>
    <w:p>
      <w:pPr>
        <w:ind w:left="1800" w:hanging="308"/>
        <w:spacing w:after="0"/>
        <w:tabs>
          <w:tab w:leader="none" w:pos="180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amend, modify, or eliminate this Section or any provision of this Agreement providing for consent or other action by all Lenders,</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 xml:space="preserve">amend, modify, or eliminate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 xml:space="preserve">amend, modify, or eliminate </w:t>
      </w:r>
      <w:r>
        <w:rPr>
          <w:rFonts w:ascii="Arial" w:cs="Arial" w:eastAsia="Arial" w:hAnsi="Arial"/>
          <w:sz w:val="18"/>
          <w:szCs w:val="18"/>
          <w:u w:val="single" w:color="auto"/>
          <w:color w:val="auto"/>
        </w:rPr>
        <w:t>Section 15.11</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270" w:right="259" w:bottom="1440" w:gutter="0" w:footer="0" w:header="0"/>
        </w:sectPr>
      </w:pPr>
    </w:p>
    <w:bookmarkStart w:id="202" w:name="page203"/>
    <w:bookmarkEnd w:id="202"/>
    <w:p>
      <w:pPr>
        <w:ind w:left="1800" w:hanging="348"/>
        <w:spacing w:after="0"/>
        <w:tabs>
          <w:tab w:leader="none" w:pos="1800" w:val="left"/>
        </w:tabs>
        <w:numPr>
          <w:ilvl w:val="1"/>
          <w:numId w:val="2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than as permitted by </w:t>
      </w:r>
      <w:r>
        <w:rPr>
          <w:rFonts w:ascii="Arial" w:cs="Arial" w:eastAsia="Arial" w:hAnsi="Arial"/>
          <w:sz w:val="17"/>
          <w:szCs w:val="17"/>
          <w:u w:val="single" w:color="auto"/>
          <w:color w:val="auto"/>
        </w:rPr>
        <w:t>Section 15.11</w:t>
      </w:r>
      <w:r>
        <w:rPr>
          <w:rFonts w:ascii="Arial" w:cs="Arial" w:eastAsia="Arial" w:hAnsi="Arial"/>
          <w:sz w:val="17"/>
          <w:szCs w:val="17"/>
          <w:color w:val="auto"/>
        </w:rPr>
        <w:t>, release or contractually subordinated Agent’s Lien in and to any of the Collateral,</w:t>
      </w:r>
    </w:p>
    <w:p>
      <w:pPr>
        <w:spacing w:after="0" w:line="128" w:lineRule="exact"/>
        <w:rPr>
          <w:rFonts w:ascii="Arial" w:cs="Arial" w:eastAsia="Arial" w:hAnsi="Arial"/>
          <w:sz w:val="17"/>
          <w:szCs w:val="17"/>
          <w:color w:val="auto"/>
        </w:rPr>
      </w:pPr>
    </w:p>
    <w:p>
      <w:pPr>
        <w:ind w:left="1860" w:hanging="408"/>
        <w:spacing w:after="0"/>
        <w:tabs>
          <w:tab w:leader="none" w:pos="1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amend, modify, or eliminate the definitions of “Required Lenders”, Supermajority Lenders or “Pro Rata Share”,</w:t>
      </w:r>
    </w:p>
    <w:p>
      <w:pPr>
        <w:spacing w:after="0" w:line="117" w:lineRule="exact"/>
        <w:rPr>
          <w:rFonts w:ascii="Arial" w:cs="Arial" w:eastAsia="Arial" w:hAnsi="Arial"/>
          <w:sz w:val="18"/>
          <w:szCs w:val="18"/>
          <w:color w:val="auto"/>
        </w:rPr>
      </w:pPr>
    </w:p>
    <w:p>
      <w:pPr>
        <w:ind w:left="-40" w:right="380" w:firstLine="1492"/>
        <w:spacing w:after="0" w:line="312" w:lineRule="auto"/>
        <w:tabs>
          <w:tab w:leader="none" w:pos="174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other than in connection with a merger, amalgamation,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38" w:lineRule="exact"/>
        <w:rPr>
          <w:rFonts w:ascii="Arial" w:cs="Arial" w:eastAsia="Arial" w:hAnsi="Arial"/>
          <w:sz w:val="16"/>
          <w:szCs w:val="16"/>
          <w:color w:val="auto"/>
        </w:rPr>
      </w:pPr>
    </w:p>
    <w:p>
      <w:pPr>
        <w:ind w:left="1700" w:hanging="248"/>
        <w:spacing w:after="0"/>
        <w:tabs>
          <w:tab w:leader="none" w:pos="17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amend, modify, or eliminate any of the provisions of </w:t>
      </w:r>
      <w:r>
        <w:rPr>
          <w:rFonts w:ascii="Arial" w:cs="Arial" w:eastAsia="Arial" w:hAnsi="Arial"/>
          <w:sz w:val="18"/>
          <w:szCs w:val="18"/>
          <w:u w:val="single" w:color="auto"/>
          <w:color w:val="auto"/>
        </w:rPr>
        <w:t>Section 2.4(b)(i)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0" w:firstLine="1492"/>
        <w:spacing w:after="0" w:line="277" w:lineRule="auto"/>
        <w:tabs>
          <w:tab w:leader="none" w:pos="174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amend, modify, or eliminate any of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with respect to assignments to, or participations with, Persons who are Loan Parties or Affiliates of a Loan Party;</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amendment, waiver, modification, or consent shall amend, modify, waive, or eliminate,</w:t>
      </w:r>
    </w:p>
    <w:p>
      <w:pPr>
        <w:spacing w:after="0" w:line="117" w:lineRule="exact"/>
        <w:rPr>
          <w:rFonts w:ascii="Arial" w:cs="Arial" w:eastAsia="Arial" w:hAnsi="Arial"/>
          <w:sz w:val="18"/>
          <w:szCs w:val="18"/>
          <w:color w:val="auto"/>
        </w:rPr>
      </w:pPr>
    </w:p>
    <w:p>
      <w:pPr>
        <w:ind w:left="-40" w:right="140" w:firstLine="1948"/>
        <w:spacing w:after="0" w:line="277" w:lineRule="auto"/>
        <w:tabs>
          <w:tab w:leader="none" w:pos="2115" w:val="left"/>
        </w:tabs>
        <w:numPr>
          <w:ilvl w:val="2"/>
          <w:numId w:val="245"/>
        </w:numPr>
        <w:rPr>
          <w:rFonts w:ascii="Arial" w:cs="Arial" w:eastAsia="Arial" w:hAnsi="Arial"/>
          <w:sz w:val="18"/>
          <w:szCs w:val="18"/>
          <w:color w:val="auto"/>
        </w:rPr>
      </w:pPr>
      <w:r>
        <w:rPr>
          <w:rFonts w:ascii="Arial" w:cs="Arial" w:eastAsia="Arial" w:hAnsi="Arial"/>
          <w:sz w:val="18"/>
          <w:szCs w:val="18"/>
          <w:color w:val="auto"/>
        </w:rPr>
        <w:t>the definition of, or any of the terms or provisions of, the Fee Letter, without the written consent of Agent and Borrowers (and shall not require the written consent of any of the Lenders),</w:t>
      </w:r>
    </w:p>
    <w:p>
      <w:pPr>
        <w:spacing w:after="0" w:line="62" w:lineRule="exact"/>
        <w:rPr>
          <w:rFonts w:ascii="Arial" w:cs="Arial" w:eastAsia="Arial" w:hAnsi="Arial"/>
          <w:sz w:val="18"/>
          <w:szCs w:val="18"/>
          <w:color w:val="auto"/>
        </w:rPr>
      </w:pPr>
    </w:p>
    <w:p>
      <w:pPr>
        <w:ind w:left="-40" w:right="80" w:firstLine="1948"/>
        <w:spacing w:after="0" w:line="277" w:lineRule="auto"/>
        <w:tabs>
          <w:tab w:leader="none" w:pos="2165" w:val="left"/>
        </w:tabs>
        <w:numPr>
          <w:ilvl w:val="2"/>
          <w:numId w:val="245"/>
        </w:numPr>
        <w:rPr>
          <w:rFonts w:ascii="Arial" w:cs="Arial" w:eastAsia="Arial" w:hAnsi="Arial"/>
          <w:sz w:val="18"/>
          <w:szCs w:val="18"/>
          <w:color w:val="auto"/>
        </w:rPr>
      </w:pPr>
      <w:r>
        <w:rPr>
          <w:rFonts w:ascii="Arial" w:cs="Arial" w:eastAsia="Arial" w:hAnsi="Arial"/>
          <w:sz w:val="18"/>
          <w:szCs w:val="18"/>
          <w:color w:val="auto"/>
        </w:rPr>
        <w:t xml:space="preserve">any provision of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pertaining to Agent, or any other rights or duties of Agent under this Agreement or the other Loan Documents, without the written consent of Agent, Borrowers, and the Required Lenders;</w:t>
      </w:r>
    </w:p>
    <w:p>
      <w:pPr>
        <w:spacing w:after="0" w:line="62" w:lineRule="exact"/>
        <w:rPr>
          <w:rFonts w:ascii="Arial" w:cs="Arial" w:eastAsia="Arial" w:hAnsi="Arial"/>
          <w:sz w:val="18"/>
          <w:szCs w:val="18"/>
          <w:color w:val="auto"/>
        </w:rPr>
      </w:pPr>
    </w:p>
    <w:p>
      <w:pPr>
        <w:ind w:left="-40" w:firstLine="921"/>
        <w:spacing w:after="0" w:line="257" w:lineRule="auto"/>
        <w:tabs>
          <w:tab w:leader="none" w:pos="111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No amendment, waiver, modification, elimination, or consent shall amend, without written consent of Agent, Borrowers and the Supermajority Lenders, modify, or eliminate the definitions of Canadian Borrowing Base, UK Borrowing Base or US Borrowing Base or any of the defined terms (including the definitions of Eligible Accounts, Eligible Finished Goods Inventory and Eligible Inventory) that are used in such definitions to the extent that any such change results in more credit being made available to Borrowers based upon the Canadian Borrowing Base, UK Borrowing Base or the US Borrowing Base, but not otherwise, or change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0" w:right="120" w:firstLine="921"/>
        <w:spacing w:after="0" w:line="264" w:lineRule="auto"/>
        <w:tabs>
          <w:tab w:leader="none" w:pos="112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Issuing Lenders, or any other rights or duties of Issuing Lenders under this Agreement or the other Loan Documents, without the written consent of Issuing Lenders, Agent, Borrowers, and the Required Lenders;</w:t>
      </w:r>
    </w:p>
    <w:p>
      <w:pPr>
        <w:spacing w:after="0" w:line="73" w:lineRule="exact"/>
        <w:rPr>
          <w:rFonts w:ascii="Arial" w:cs="Arial" w:eastAsia="Arial" w:hAnsi="Arial"/>
          <w:sz w:val="18"/>
          <w:szCs w:val="18"/>
          <w:color w:val="auto"/>
        </w:rPr>
      </w:pPr>
    </w:p>
    <w:p>
      <w:pPr>
        <w:ind w:left="-40" w:right="140" w:firstLine="921"/>
        <w:spacing w:after="0" w:line="264" w:lineRule="auto"/>
        <w:tabs>
          <w:tab w:leader="none" w:pos="111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a Swing Lender, or any other rights or duties of a Swing Lender under this Agreement or the other Loan Documents, without the written consent of Swing Lenders, Agent, Borrowers, and the Required Lenders;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40"/>
          </w:cols>
          <w:pgMar w:left="280" w:top="274" w:right="279" w:bottom="1440" w:gutter="0" w:footer="0" w:header="0"/>
        </w:sectPr>
      </w:pPr>
    </w:p>
    <w:bookmarkStart w:id="203" w:name="page204"/>
    <w:bookmarkEnd w:id="203"/>
    <w:p>
      <w:pPr>
        <w:ind w:left="-20" w:right="100" w:firstLine="921"/>
        <w:spacing w:after="0" w:line="255" w:lineRule="auto"/>
        <w:tabs>
          <w:tab w:leader="none" w:pos="1118"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Anything in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 other than any of the matters governed by </w:t>
      </w:r>
      <w:r>
        <w:rPr>
          <w:rFonts w:ascii="Arial" w:cs="Arial" w:eastAsia="Arial" w:hAnsi="Arial"/>
          <w:sz w:val="18"/>
          <w:szCs w:val="18"/>
          <w:u w:val="single" w:color="auto"/>
          <w:color w:val="auto"/>
        </w:rPr>
        <w:t>Section 14.1(a)(i)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that affect such Lender.</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Replacement of Certain Lenders</w:t>
      </w:r>
      <w:r>
        <w:rPr>
          <w:rFonts w:ascii="Arial" w:cs="Arial" w:eastAsia="Arial" w:hAnsi="Arial"/>
          <w:sz w:val="18"/>
          <w:szCs w:val="18"/>
          <w:color w:val="auto"/>
        </w:rPr>
        <w:t>.</w:t>
      </w:r>
    </w:p>
    <w:p>
      <w:pPr>
        <w:spacing w:after="0" w:line="121" w:lineRule="exact"/>
        <w:rPr>
          <w:sz w:val="20"/>
          <w:szCs w:val="20"/>
          <w:color w:val="auto"/>
        </w:rPr>
      </w:pPr>
    </w:p>
    <w:p>
      <w:pPr>
        <w:ind w:left="-20" w:firstLine="921"/>
        <w:spacing w:after="0" w:line="271" w:lineRule="auto"/>
        <w:tabs>
          <w:tab w:leader="none" w:pos="113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or (ii) any Lender makes a claim for compensation under </w:t>
      </w:r>
      <w:r>
        <w:rPr>
          <w:rFonts w:ascii="Arial" w:cs="Arial" w:eastAsia="Arial" w:hAnsi="Arial"/>
          <w:sz w:val="17"/>
          <w:szCs w:val="17"/>
          <w:u w:val="single" w:color="auto"/>
          <w:color w:val="auto"/>
        </w:rPr>
        <w:t>Section 16</w:t>
      </w:r>
      <w:r>
        <w:rPr>
          <w:rFonts w:ascii="Arial" w:cs="Arial" w:eastAsia="Arial" w:hAnsi="Arial"/>
          <w:sz w:val="17"/>
          <w:szCs w:val="17"/>
          <w:color w:val="auto"/>
        </w:rPr>
        <w:t>, then Borrowers or Agent, upon at least five Business Days prior irrevocable notice, may permanently replace any Lender that failed to give its consent, authorization, or agreement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together with its Affiliates, or any Lender that made a claim for compensation (a “</w:t>
      </w:r>
      <w:r>
        <w:rPr>
          <w:rFonts w:ascii="Arial" w:cs="Arial" w:eastAsia="Arial" w:hAnsi="Arial"/>
          <w:sz w:val="17"/>
          <w:szCs w:val="17"/>
          <w:u w:val="single" w:color="auto"/>
          <w:color w:val="auto"/>
        </w:rPr>
        <w:t>Tax Lender</w:t>
      </w:r>
      <w:r>
        <w:rPr>
          <w:rFonts w:ascii="Arial" w:cs="Arial" w:eastAsia="Arial" w:hAnsi="Arial"/>
          <w:sz w:val="17"/>
          <w:szCs w:val="17"/>
          <w:color w:val="auto"/>
        </w:rPr>
        <w:t>”), together with its Affiliates, with one or more Replacement Lenders, and the Non-Consenting Lender (and its Affiliates) or Tax Lender(and its Affiliates), as applicable, shall have no right to refuse to be replaced hereunder. Such notice to replace the Non-Consenting Lender (and its Affiliates) or Tax Lender (and its Affiliates), as applicable, shall specify an effective date for such replacement, which date shall not be later than 15 Business Days after the date such notice is given.</w:t>
      </w:r>
    </w:p>
    <w:p>
      <w:pPr>
        <w:spacing w:after="0" w:line="70" w:lineRule="exact"/>
        <w:rPr>
          <w:rFonts w:ascii="Arial" w:cs="Arial" w:eastAsia="Arial" w:hAnsi="Arial"/>
          <w:sz w:val="17"/>
          <w:szCs w:val="17"/>
          <w:color w:val="auto"/>
        </w:rPr>
      </w:pPr>
    </w:p>
    <w:p>
      <w:pPr>
        <w:ind w:left="-20" w:right="60" w:firstLine="921"/>
        <w:spacing w:after="0" w:line="287" w:lineRule="auto"/>
        <w:tabs>
          <w:tab w:leader="none" w:pos="114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Prior to the effective date of such replacement, the Non-Consenting Lender (and its Affiliates) or Tax Lender (and its Affiliates), as applicable, and each Replacement Lender shall execute and deliver an Assignment and Acceptance, subject only to the Non-Consenting Lender (and its Affiliates) or Tax Lender (and its Affiliates), as applicable, being repaid in full its share of the outstanding Obligations (without any premium or penalty of any kind whatsoever, but including (i) all interest, fees and other amounts that may be due in payable in respect thereof, (ii) an assumption of its Pro Rata Share of participations in the Letters of Credit, and (iii) Funding Losses). If the Non-Consenting Lender (and its Affiliates) or Tax Lender (and its Affiliates),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(and its Affiliates) or Tax Lender (and its Affiliates), as applicable, and irrespective of whether Agent executes and delivers such Assignment and Acceptance, the Non-Consenting Lender (and its Affiliates) or Tax Lender (and its Affiliates), as applicable, shall be deemed to have executed and delivered such Assignment and Acceptance. The replacement of any Non-Consenting Lender (and its Affiliates) or Tax Lender (and its Affiliates), as applicable, shall be made in accordance with the terms of </w:t>
      </w:r>
      <w:r>
        <w:rPr>
          <w:rFonts w:ascii="Arial" w:cs="Arial" w:eastAsia="Arial" w:hAnsi="Arial"/>
          <w:sz w:val="16"/>
          <w:szCs w:val="16"/>
          <w:u w:val="single" w:color="auto"/>
          <w:color w:val="auto"/>
        </w:rPr>
        <w:t>Section 13.1</w:t>
      </w:r>
      <w:r>
        <w:rPr>
          <w:rFonts w:ascii="Arial" w:cs="Arial" w:eastAsia="Arial" w:hAnsi="Arial"/>
          <w:sz w:val="16"/>
          <w:szCs w:val="16"/>
          <w:color w:val="auto"/>
        </w:rPr>
        <w:t>. Until such time as one or more Replacement Lenders shall have acquired all of the Obligations,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60" w:top="274" w:right="239" w:bottom="1440" w:gutter="0" w:footer="0" w:header="0"/>
        </w:sectPr>
      </w:pPr>
    </w:p>
    <w:bookmarkStart w:id="204" w:name="page205"/>
    <w:bookmarkEnd w:id="204"/>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Commitments, and the other rights and obligations of the Non-Consenting Lender (and its Affiliates) or Tax Lender (and its Affiliates), as applicable, hereunder and under the other Loan Documents, the Non-Consenting Lender (and its Affiliates) or Tax Lender (and its Affiliates), as applicable, shall remain obligated to make the Non-Consenting Lender’s (and its Affiliates’) or Tax Lender’s (and its Affiliates’), as applicable, Pro Rata Share of Revolving Loans and to purchase a participation in each Letter of Credit, in an amount equal to its Pro Rata Share of participations in such Letters of Credit.</w:t>
      </w:r>
    </w:p>
    <w:p>
      <w:pPr>
        <w:spacing w:after="0" w:line="4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u w:val="single" w:color="auto"/>
          <w:color w:val="auto"/>
        </w:rPr>
        <w:t>No Waivers; Cumulative Remedies</w:t>
      </w:r>
      <w:r>
        <w:rPr>
          <w:rFonts w:ascii="Arial" w:cs="Arial" w:eastAsia="Arial" w:hAnsi="Arial"/>
          <w:sz w:val="18"/>
          <w:szCs w:val="18"/>
          <w:color w:val="auto"/>
        </w:rPr>
        <w:t>. 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Parent and Borrowers of any provision of this Agreement. Agent’s and each Lender’s rights under this Agreement and the other Loan Documents will be cumulative and not exclusive of any other right or remedy that Agent or any Lender may have.</w:t>
      </w:r>
    </w:p>
    <w:p>
      <w:pPr>
        <w:spacing w:after="0" w:line="336"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AGENT; THE LENDER GROUP.</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Appointment and Authorization of Agent</w:t>
      </w:r>
      <w:r>
        <w:rPr>
          <w:rFonts w:ascii="Arial" w:cs="Arial" w:eastAsia="Arial" w:hAnsi="Arial"/>
          <w:sz w:val="16"/>
          <w:szCs w:val="16"/>
          <w:color w:val="auto"/>
        </w:rPr>
        <w:t xml:space="preserve">. Each Lender hereby designates and appoints Wells Fargo as its agent 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Arial" w:cs="Arial" w:eastAsia="Arial" w:hAnsi="Arial"/>
          <w:sz w:val="16"/>
          <w:szCs w:val="16"/>
          <w:u w:val="single" w:color="auto"/>
          <w:color w:val="auto"/>
        </w:rPr>
        <w:t>Section 15</w:t>
      </w:r>
      <w:r>
        <w:rPr>
          <w:rFonts w:ascii="Arial" w:cs="Arial" w:eastAsia="Arial" w:hAnsi="Arial"/>
          <w:sz w:val="16"/>
          <w:szCs w:val="16"/>
          <w:color w:val="auto"/>
        </w:rPr>
        <w:t>.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380"/>
          </w:cols>
          <w:pgMar w:left="240" w:top="274" w:right="279" w:bottom="1440" w:gutter="0" w:footer="0" w:header="0"/>
        </w:sectPr>
      </w:pPr>
    </w:p>
    <w:bookmarkStart w:id="205" w:name="page206"/>
    <w:bookmarkEnd w:id="205"/>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any Loan Party or its Subsidiaries, the Obligations, the Collateral, or otherwise related to any of same as provided in the Loan Documents, and</w:t>
      </w:r>
    </w:p>
    <w:p>
      <w:pPr>
        <w:spacing w:after="0" w:line="6" w:lineRule="exact"/>
        <w:rPr>
          <w:sz w:val="20"/>
          <w:szCs w:val="20"/>
          <w:color w:val="auto"/>
        </w:rPr>
      </w:pPr>
    </w:p>
    <w:p>
      <w:pPr>
        <w:ind w:right="160" w:firstLine="8"/>
        <w:spacing w:after="0" w:line="261" w:lineRule="auto"/>
        <w:tabs>
          <w:tab w:leader="none" w:pos="25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incur and pay such Lender Group Expenses as Agent may deem necessary or appropriate for the performance and fulfillment of its functions and powers pursuant to the Loan Documents.</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u w:val="single" w:color="auto"/>
          <w:color w:val="auto"/>
        </w:rPr>
        <w:t>Delegation of Duties</w:t>
      </w:r>
      <w:r>
        <w:rPr>
          <w:rFonts w:ascii="Arial" w:cs="Arial" w:eastAsia="Arial" w:hAnsi="Arial"/>
          <w:sz w:val="16"/>
          <w:szCs w:val="16"/>
          <w:color w:val="auto"/>
        </w:rPr>
        <w:t>. Agent may execute any of its duties under this Agreement or any other Loan Document by or through agents, employees or attorneys in fact and shall be entitled to advice of counsel concerning all matters pertaining to such duties. Without limitation of the foregoing, Agent may at any time designate and appoint WF Canada or another Person selected by Agent as Agent’s subagent (the “</w:t>
      </w:r>
      <w:r>
        <w:rPr>
          <w:rFonts w:ascii="Arial" w:cs="Arial" w:eastAsia="Arial" w:hAnsi="Arial"/>
          <w:sz w:val="16"/>
          <w:szCs w:val="16"/>
          <w:u w:val="single" w:color="auto"/>
          <w:color w:val="auto"/>
        </w:rPr>
        <w:t>Canadian Subagent</w:t>
      </w:r>
      <w:r>
        <w:rPr>
          <w:rFonts w:ascii="Arial" w:cs="Arial" w:eastAsia="Arial" w:hAnsi="Arial"/>
          <w:sz w:val="16"/>
          <w:szCs w:val="16"/>
          <w:color w:val="auto"/>
        </w:rPr>
        <w:t xml:space="preserve">”) with respect to all or any part of the Collateral of the Canadian Loan Parties, and WF Canada hereby agrees to accept such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Canadian Subagent shall not be authorized to take any action with respect to any such Collateral unless and except to the extent expressly authorized in writing by Agent. Should any instrument in writing from any Loan Party be required by the Canadian Subagent to more fully or certainly vest in and confirm to the Canadian Subagent such rights, powers, privileges and duties, such Loan Party shall execute, acknowledge and deliver any and all such instruments promptly upon request by Agent. If the Canadian Subagent, or successor thereto, shall resign or be removed, all rights, powers, privileges and duties of the Canadian Subagent, to the extent permitted by law, shall automatically vest in and be exercised by Agent until the appointment of a new Canadian Subagent. Each member of the Lender Group and each Loan Party acknowledges and agrees that any agent (including Canadian Subagent) appointed by Agent shall be entitled to the rights and benefits of Agent under this </w:t>
      </w:r>
      <w:r>
        <w:rPr>
          <w:rFonts w:ascii="Arial" w:cs="Arial" w:eastAsia="Arial" w:hAnsi="Arial"/>
          <w:sz w:val="16"/>
          <w:szCs w:val="16"/>
          <w:u w:val="single" w:color="auto"/>
          <w:color w:val="auto"/>
        </w:rPr>
        <w:t>Section 15</w:t>
      </w:r>
      <w:r>
        <w:rPr>
          <w:rFonts w:ascii="Arial" w:cs="Arial" w:eastAsia="Arial" w:hAnsi="Arial"/>
          <w:sz w:val="16"/>
          <w:szCs w:val="16"/>
          <w:color w:val="auto"/>
        </w:rPr>
        <w:t>. Agent shall not be responsible for the negligence or misconduct of any agent (including the Canadian Subagent) or attorney in fact that it selects as long as such selection was made without gross negligence, bad faith or willful misconduct.</w:t>
      </w:r>
    </w:p>
    <w:p>
      <w:pPr>
        <w:spacing w:after="0" w:line="61"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u w:val="single" w:color="auto"/>
          <w:color w:val="auto"/>
        </w:rPr>
        <w:t>Liability of Agent</w:t>
      </w:r>
      <w:r>
        <w:rPr>
          <w:rFonts w:ascii="Arial" w:cs="Arial" w:eastAsia="Arial" w:hAnsi="Arial"/>
          <w:sz w:val="18"/>
          <w:szCs w:val="18"/>
          <w:color w:val="auto"/>
        </w:rPr>
        <w:t>. None of the Agent-Related Persons shall (a) be liable for any action taken or omitted to be taken by any of them under or in connection with this Agreement or any other Loan Document or the transactions contemplated hereby (except for its own gross negligence, bad faith or willful misconduct), or (b) be responsible in any manner to any of the Lenders (or Bank Product Providers) for any recital, statement, representation or warranty made by any Loan Party or any of its Subsidiaries or Affiliates, or any officer 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274" w:right="239" w:bottom="1440" w:gutter="0" w:footer="0" w:header="0"/>
        </w:sectPr>
      </w:pPr>
    </w:p>
    <w:bookmarkStart w:id="206" w:name="page207"/>
    <w:bookmarkEnd w:id="206"/>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Reliance by Agent</w:t>
      </w:r>
      <w:r>
        <w:rPr>
          <w:rFonts w:ascii="Arial" w:cs="Arial" w:eastAsia="Arial" w:hAnsi="Arial"/>
          <w:sz w:val="16"/>
          <w:szCs w:val="16"/>
          <w:color w:val="auto"/>
        </w:rPr>
        <w:t>.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5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b w:val="1"/>
          <w:bCs w:val="1"/>
          <w:u w:val="single" w:color="auto"/>
          <w:color w:val="auto"/>
        </w:rPr>
        <w:t>Notice of Default or Event of Default</w:t>
      </w:r>
      <w:r>
        <w:rPr>
          <w:rFonts w:ascii="Arial" w:cs="Arial" w:eastAsia="Arial" w:hAnsi="Arial"/>
          <w:sz w:val="16"/>
          <w:szCs w:val="16"/>
          <w:color w:val="auto"/>
        </w:rPr>
        <w:t xml:space="preserve">.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6"/>
          <w:szCs w:val="16"/>
          <w:u w:val="single" w:color="auto"/>
          <w:color w:val="auto"/>
        </w:rPr>
        <w:t>Section 15.4</w:t>
      </w:r>
      <w:r>
        <w:rPr>
          <w:rFonts w:ascii="Arial" w:cs="Arial" w:eastAsia="Arial" w:hAnsi="Arial"/>
          <w:sz w:val="16"/>
          <w:szCs w:val="16"/>
          <w:color w:val="auto"/>
        </w:rPr>
        <w:t xml:space="preserve">, Agent shall take such action with respect to such Default or Event of Default as may be requested by the Required Lenders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274" w:right="239" w:bottom="1440" w:gutter="0" w:footer="0" w:header="0"/>
        </w:sectPr>
      </w:pPr>
    </w:p>
    <w:bookmarkStart w:id="207" w:name="page208"/>
    <w:bookmarkEnd w:id="207"/>
    <w:p>
      <w:pPr>
        <w:ind w:right="2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15.6. </w:t>
      </w:r>
      <w:r>
        <w:rPr>
          <w:rFonts w:ascii="Arial" w:cs="Arial" w:eastAsia="Arial" w:hAnsi="Arial"/>
          <w:sz w:val="16"/>
          <w:szCs w:val="16"/>
          <w:b w:val="1"/>
          <w:bCs w:val="1"/>
          <w:u w:val="single" w:color="auto"/>
          <w:color w:val="auto"/>
        </w:rPr>
        <w:t>Credit Decision</w:t>
      </w:r>
      <w:r>
        <w:rPr>
          <w:rFonts w:ascii="Arial" w:cs="Arial" w:eastAsia="Arial" w:hAnsi="Arial"/>
          <w:sz w:val="16"/>
          <w:szCs w:val="16"/>
          <w:color w:val="auto"/>
        </w:rPr>
        <w:t>. Each Lender (and Bank Product Provider)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(or Bank Product Provider)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u w:val="single" w:color="auto"/>
          <w:color w:val="auto"/>
        </w:rPr>
        <w:t>Costs and Expenses; Indemnification</w:t>
      </w:r>
      <w:r>
        <w:rPr>
          <w:rFonts w:ascii="Arial" w:cs="Arial" w:eastAsia="Arial" w:hAnsi="Arial"/>
          <w:sz w:val="18"/>
          <w:szCs w:val="18"/>
          <w:color w:val="auto"/>
        </w:rPr>
        <w:t>. 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270" w:right="239" w:bottom="1440" w:gutter="0" w:footer="0" w:header="0"/>
        </w:sectPr>
      </w:pPr>
    </w:p>
    <w:bookmarkStart w:id="208" w:name="page209"/>
    <w:bookmarkEnd w:id="20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amounts to Lenders (or Bank Product Providers). In the event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be liable for the payment to any Agent-Related Person of any portion of such Indemnified Liabilities resulting solely from such Person’s gross negligence, bad faith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6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15.8. </w:t>
      </w:r>
      <w:r>
        <w:rPr>
          <w:rFonts w:ascii="Arial" w:cs="Arial" w:eastAsia="Arial" w:hAnsi="Arial"/>
          <w:sz w:val="16"/>
          <w:szCs w:val="16"/>
          <w:b w:val="1"/>
          <w:bCs w:val="1"/>
          <w:u w:val="single" w:color="auto"/>
          <w:color w:val="auto"/>
        </w:rPr>
        <w:t>Agent in Individual Capacity</w:t>
      </w:r>
      <w:r>
        <w:rPr>
          <w:rFonts w:ascii="Arial" w:cs="Arial" w:eastAsia="Arial" w:hAnsi="Arial"/>
          <w:sz w:val="16"/>
          <w:szCs w:val="16"/>
          <w:color w:val="auto"/>
        </w:rPr>
        <w:t>. Wells Fargo and its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Wells Fargo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Wells Fargo in its individual capacity.</w:t>
      </w:r>
    </w:p>
    <w:p>
      <w:pPr>
        <w:spacing w:after="0" w:line="5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b w:val="1"/>
          <w:bCs w:val="1"/>
          <w:u w:val="single" w:color="auto"/>
          <w:color w:val="auto"/>
        </w:rPr>
        <w:t>Successor Agent</w:t>
      </w:r>
      <w:r>
        <w:rPr>
          <w:rFonts w:ascii="Arial" w:cs="Arial" w:eastAsia="Arial" w:hAnsi="Arial"/>
          <w:sz w:val="18"/>
          <w:szCs w:val="18"/>
          <w:color w:val="auto"/>
        </w:rPr>
        <w:t>. Agent may resign as Agent upon 30 days (ten days if an Event of Default has occurred and is continuing) prior written notice to the Lenders (unless such notice is waived by the Required Lenders) and Borrowers (unless such notice is waived by Borrowers or a Default or Event of Default has occurred and is continuing)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If, at the time that Agent’s resignation is effective, it is acting as an Issuing Lender or a Swing Lender,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274" w:right="239" w:bottom="1440" w:gutter="0" w:footer="0" w:header="0"/>
        </w:sectPr>
      </w:pPr>
    </w:p>
    <w:bookmarkStart w:id="209" w:name="page210"/>
    <w:bookmarkEnd w:id="20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resignation shall also operate to effectuate its resignation as an Issuing Lender or a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6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b w:val="1"/>
          <w:bCs w:val="1"/>
          <w:u w:val="single" w:color="auto"/>
          <w:color w:val="auto"/>
        </w:rPr>
        <w:t>Lender in Individual Capacity</w:t>
      </w:r>
      <w:r>
        <w:rPr>
          <w:rFonts w:ascii="Arial" w:cs="Arial" w:eastAsia="Arial" w:hAnsi="Arial"/>
          <w:sz w:val="16"/>
          <w:szCs w:val="16"/>
          <w:color w:val="auto"/>
        </w:rPr>
        <w:t>. Any Lender and its respective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b w:val="1"/>
          <w:bCs w:val="1"/>
          <w:u w:val="single" w:color="auto"/>
          <w:color w:val="auto"/>
        </w:rPr>
        <w:t>Collateral Matters</w:t>
      </w:r>
      <w:r>
        <w:rPr>
          <w:rFonts w:ascii="Arial" w:cs="Arial" w:eastAsia="Arial" w:hAnsi="Arial"/>
          <w:sz w:val="18"/>
          <w:szCs w:val="18"/>
          <w:color w:val="auto"/>
        </w:rPr>
        <w:t>.</w:t>
      </w:r>
    </w:p>
    <w:p>
      <w:pPr>
        <w:spacing w:after="0" w:line="121" w:lineRule="exact"/>
        <w:rPr>
          <w:sz w:val="20"/>
          <w:szCs w:val="20"/>
          <w:color w:val="auto"/>
        </w:rPr>
      </w:pPr>
    </w:p>
    <w:p>
      <w:pPr>
        <w:jc w:val="both"/>
        <w:ind w:right="80" w:firstLine="921"/>
        <w:spacing w:after="0" w:line="276" w:lineRule="auto"/>
        <w:tabs>
          <w:tab w:leader="none" w:pos="115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The Lenders hereby irrevocably authorize (and by entering into a Bank Product Agreement, each Bank Product Provider shall be deemed to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Borrowers certify to Agent that the sale or disposition is permitted under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(and Agent may rely conclusively on any such certificate, without further inquiry), (iii) constituting property in which no Loan Party or any of its Subsidiaries owned any interest at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274" w:right="239" w:bottom="1440" w:gutter="0" w:footer="0" w:header="0"/>
        </w:sectPr>
      </w:pPr>
    </w:p>
    <w:bookmarkStart w:id="210" w:name="page211"/>
    <w:bookmarkEnd w:id="21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The Loan Parties and the Lenders hereby irrevocably authorize (and by entering into a Bank Product Agreement, each Bank Product Provider shall be deemed to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or in connection with any other Insolvency Proceeding in any other jurisdiction to which a Loan Party is subject, (b) credit bid or purchase (either directly or indirectly through one or more entities) all or any portion of the Collateral at any sale or other disposition thereof conducted under the provisions of the Code or PPSA, including pursuant to Sections 9-610 or 9-620 of the Code or any similar provision of the PPSA,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Bank Product Obligations not entitled to the application set forth in </w:t>
      </w:r>
      <w:r>
        <w:rPr>
          <w:rFonts w:ascii="Arial" w:cs="Arial" w:eastAsia="Arial" w:hAnsi="Arial"/>
          <w:sz w:val="16"/>
          <w:szCs w:val="16"/>
          <w:u w:val="single" w:color="auto"/>
          <w:color w:val="auto"/>
        </w:rPr>
        <w:t>Section 2.4(b)(ii)(A)(x)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2.4(b)(ii)(B)(x)</w:t>
      </w:r>
      <w:r>
        <w:rPr>
          <w:rFonts w:ascii="Arial" w:cs="Arial" w:eastAsia="Arial" w:hAnsi="Arial"/>
          <w:sz w:val="16"/>
          <w:szCs w:val="16"/>
          <w:color w:val="auto"/>
        </w:rPr>
        <w:t xml:space="preserve">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w:t>
      </w:r>
    </w:p>
    <w:p>
      <w:pPr>
        <w:spacing w:after="0" w:line="12" w:lineRule="exact"/>
        <w:rPr>
          <w:sz w:val="20"/>
          <w:szCs w:val="20"/>
          <w:color w:val="auto"/>
        </w:rPr>
      </w:pPr>
    </w:p>
    <w:p>
      <w:pPr>
        <w:ind w:left="260" w:hanging="252"/>
        <w:spacing w:after="0"/>
        <w:tabs>
          <w:tab w:leader="none" w:pos="2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the release is of all or substantially all of the Collateral, all of the Lenders (without requiring the authorization of the Bank Product Providers), or</w:t>
      </w:r>
    </w:p>
    <w:p>
      <w:pPr>
        <w:spacing w:after="0" w:line="20" w:lineRule="exact"/>
        <w:rPr>
          <w:rFonts w:ascii="Arial" w:cs="Arial" w:eastAsia="Arial" w:hAnsi="Arial"/>
          <w:sz w:val="17"/>
          <w:szCs w:val="17"/>
          <w:color w:val="auto"/>
        </w:rPr>
      </w:pPr>
    </w:p>
    <w:p>
      <w:pPr>
        <w:jc w:val="both"/>
        <w:ind w:firstLine="8"/>
        <w:spacing w:after="0" w:line="277" w:lineRule="auto"/>
        <w:tabs>
          <w:tab w:leader="none" w:pos="24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otherwise, the Required Lenders (without requiring the authorization of the Bank Product Providers). Upon request by Agent or Borrowers at any time, the Lenders will (and if so requested, the Bank Product Providers will) confirm in writing Agent’s authority to release any such Liens on particular types or items of Collateral pursuant to this </w:t>
      </w:r>
      <w:r>
        <w:rPr>
          <w:rFonts w:ascii="Arial" w:cs="Arial" w:eastAsia="Arial" w:hAnsi="Arial"/>
          <w:sz w:val="17"/>
          <w:szCs w:val="17"/>
          <w:u w:val="single" w:color="auto"/>
          <w:color w:val="auto"/>
        </w:rPr>
        <w:t>Section 15.11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(1) anything to the contrary contained in any of the Loan Documents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274" w:right="239" w:bottom="1440" w:gutter="0" w:footer="0" w:header="0"/>
        </w:sectPr>
      </w:pPr>
    </w:p>
    <w:bookmarkStart w:id="211" w:name="page212"/>
    <w:bookmarkEnd w:id="21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 irrevocably authorize (and by entering into a Bank Product Agreement, each Bank Product Provider shall be deemed to irrevocably authorize) Agent, at its option and in its sole discretion, to subordinate (by contract or otherwise) any Lien granted to or held by Agent on any property under any Loan Document (a) to the holder of any Permitted Lien on such property if such Permitted Lien secures purchase money Indebtedness (including Capitalized Lease Obligations) which constitute Permitted Indebtedness and (b) to the extent Agent has the authority under this </w:t>
      </w:r>
      <w:r>
        <w:rPr>
          <w:rFonts w:ascii="Arial" w:cs="Arial" w:eastAsia="Arial" w:hAnsi="Arial"/>
          <w:sz w:val="17"/>
          <w:szCs w:val="17"/>
          <w:u w:val="single" w:color="auto"/>
          <w:color w:val="auto"/>
        </w:rPr>
        <w:t>Section 15.11</w:t>
      </w:r>
      <w:r>
        <w:rPr>
          <w:rFonts w:ascii="Arial" w:cs="Arial" w:eastAsia="Arial" w:hAnsi="Arial"/>
          <w:sz w:val="17"/>
          <w:szCs w:val="17"/>
          <w:color w:val="auto"/>
        </w:rPr>
        <w:t xml:space="preserve"> to release its Lien on such property.</w:t>
      </w:r>
    </w:p>
    <w:p>
      <w:pPr>
        <w:spacing w:after="0" w:line="74" w:lineRule="exact"/>
        <w:rPr>
          <w:sz w:val="20"/>
          <w:szCs w:val="20"/>
          <w:color w:val="auto"/>
        </w:rPr>
      </w:pPr>
    </w:p>
    <w:p>
      <w:pPr>
        <w:ind w:right="20" w:firstLine="921"/>
        <w:spacing w:after="0" w:line="270" w:lineRule="auto"/>
        <w:tabs>
          <w:tab w:leader="none" w:pos="116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Agent shall have no obligation whatsoever to any of the Lenders (or the Bank Product Providers)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b w:val="1"/>
          <w:bCs w:val="1"/>
          <w:u w:val="single" w:color="auto"/>
          <w:color w:val="auto"/>
        </w:rPr>
        <w:t>Restrictions on Actions by Lenders; Sharing of Payments</w:t>
      </w:r>
      <w:r>
        <w:rPr>
          <w:rFonts w:ascii="Arial" w:cs="Arial" w:eastAsia="Arial" w:hAnsi="Arial"/>
          <w:sz w:val="18"/>
          <w:szCs w:val="18"/>
          <w:color w:val="auto"/>
        </w:rPr>
        <w:t>.</w:t>
      </w:r>
    </w:p>
    <w:p>
      <w:pPr>
        <w:spacing w:after="0" w:line="121" w:lineRule="exact"/>
        <w:rPr>
          <w:sz w:val="20"/>
          <w:szCs w:val="20"/>
          <w:color w:val="auto"/>
        </w:rPr>
      </w:pPr>
    </w:p>
    <w:p>
      <w:pPr>
        <w:ind w:right="60" w:firstLine="921"/>
        <w:spacing w:after="0" w:line="255" w:lineRule="auto"/>
        <w:tabs>
          <w:tab w:leader="none" w:pos="115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380"/>
          </w:cols>
          <w:pgMar w:left="240" w:top="274" w:right="279" w:bottom="1440" w:gutter="0" w:footer="0" w:header="0"/>
        </w:sectPr>
      </w:pPr>
    </w:p>
    <w:bookmarkStart w:id="212" w:name="page213"/>
    <w:bookmarkEnd w:id="212"/>
    <w:p>
      <w:pPr>
        <w:ind w:right="100" w:firstLine="921"/>
        <w:spacing w:after="0" w:line="291" w:lineRule="auto"/>
        <w:tabs>
          <w:tab w:leader="none" w:pos="1168" w:val="left"/>
        </w:tabs>
        <w:numPr>
          <w:ilvl w:val="1"/>
          <w:numId w:val="2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w:t>
      </w:r>
    </w:p>
    <w:p>
      <w:pPr>
        <w:ind w:right="120" w:firstLine="8"/>
        <w:spacing w:after="0" w:line="268" w:lineRule="auto"/>
        <w:tabs>
          <w:tab w:leader="none" w:pos="26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72" w:lineRule="exact"/>
        <w:rPr>
          <w:sz w:val="20"/>
          <w:szCs w:val="20"/>
          <w:color w:val="auto"/>
        </w:rPr>
      </w:pPr>
    </w:p>
    <w:p>
      <w:pPr>
        <w:jc w:val="both"/>
        <w:ind w:right="480" w:firstLine="456"/>
        <w:spacing w:after="0" w:line="289" w:lineRule="auto"/>
        <w:rPr>
          <w:sz w:val="20"/>
          <w:szCs w:val="20"/>
          <w:color w:val="auto"/>
        </w:rPr>
      </w:pPr>
      <w:r>
        <w:rPr>
          <w:rFonts w:ascii="Arial" w:cs="Arial" w:eastAsia="Arial" w:hAnsi="Arial"/>
          <w:sz w:val="16"/>
          <w:szCs w:val="16"/>
          <w:color w:val="auto"/>
        </w:rPr>
        <w:t xml:space="preserve">15.13. </w:t>
      </w:r>
      <w:r>
        <w:rPr>
          <w:rFonts w:ascii="Arial" w:cs="Arial" w:eastAsia="Arial" w:hAnsi="Arial"/>
          <w:sz w:val="16"/>
          <w:szCs w:val="16"/>
          <w:b w:val="1"/>
          <w:bCs w:val="1"/>
          <w:u w:val="single" w:color="auto"/>
          <w:color w:val="auto"/>
        </w:rPr>
        <w:t>Agency for Perfection</w:t>
      </w:r>
      <w:r>
        <w:rPr>
          <w:rFonts w:ascii="Arial" w:cs="Arial" w:eastAsia="Arial" w:hAnsi="Arial"/>
          <w:sz w:val="16"/>
          <w:szCs w:val="16"/>
          <w:color w:val="auto"/>
        </w:rPr>
        <w:t>. Agent hereby appoints each other Lender (and each Bank Product Provider) as its agent (and each Lender hereby accepts (and by entering into a Bank Product Agreement, each Bank Product Provider shall be deemed to accept) such appointment) for the purpose of perfecting Agent’s Liens in assets which, in accordance with Article 8 or Article 9, as applicable, of the Code can be perfected by possession or control.</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7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b w:val="1"/>
          <w:bCs w:val="1"/>
          <w:u w:val="single" w:color="auto"/>
          <w:color w:val="auto"/>
        </w:rPr>
        <w:t>Payments by Agent to the Lenders</w:t>
      </w:r>
      <w:r>
        <w:rPr>
          <w:rFonts w:ascii="Arial" w:cs="Arial" w:eastAsia="Arial" w:hAnsi="Arial"/>
          <w:sz w:val="18"/>
          <w:szCs w:val="18"/>
          <w:color w:val="auto"/>
        </w:rPr>
        <w:t>. All payments to be made by Agent to the Lenders (or Bank Product Providers)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7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b w:val="1"/>
          <w:bCs w:val="1"/>
          <w:u w:val="single" w:color="auto"/>
          <w:color w:val="auto"/>
        </w:rPr>
        <w:t>Concerning the Collateral and Related Loan Documents</w:t>
      </w:r>
      <w:r>
        <w:rPr>
          <w:rFonts w:ascii="Arial" w:cs="Arial" w:eastAsia="Arial" w:hAnsi="Arial"/>
          <w:sz w:val="18"/>
          <w:szCs w:val="18"/>
          <w:color w:val="auto"/>
        </w:rPr>
        <w:t>. Each member of the Lender Group authorizes and directs Agent to enter into this Agreement and the other Loan Documents.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15.16. </w:t>
      </w:r>
      <w:r>
        <w:rPr>
          <w:rFonts w:ascii="Arial" w:cs="Arial" w:eastAsia="Arial" w:hAnsi="Arial"/>
          <w:sz w:val="17"/>
          <w:szCs w:val="17"/>
          <w:b w:val="1"/>
          <w:bCs w:val="1"/>
          <w:u w:val="single" w:color="auto"/>
          <w:color w:val="auto"/>
        </w:rPr>
        <w:t>Field Examination Reports; Confidentiality; Disclaimers by Lenders; Other Reports and Information</w:t>
      </w:r>
      <w:r>
        <w:rPr>
          <w:rFonts w:ascii="Arial" w:cs="Arial" w:eastAsia="Arial" w:hAnsi="Arial"/>
          <w:sz w:val="17"/>
          <w:szCs w:val="17"/>
          <w:color w:val="auto"/>
        </w:rPr>
        <w:t>. By becoming a party to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each Lender:</w:t>
      </w:r>
    </w:p>
    <w:p>
      <w:pPr>
        <w:spacing w:after="0" w:line="103" w:lineRule="exact"/>
        <w:rPr>
          <w:sz w:val="20"/>
          <w:szCs w:val="20"/>
          <w:color w:val="auto"/>
        </w:rPr>
      </w:pPr>
    </w:p>
    <w:p>
      <w:pPr>
        <w:jc w:val="both"/>
        <w:ind w:right="400" w:firstLine="921"/>
        <w:spacing w:after="0" w:line="264" w:lineRule="auto"/>
        <w:tabs>
          <w:tab w:leader="none" w:pos="115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is deemed to have requested that Agent furnish such Lender, promptly after it becomes available, a copy of each field examination report respecting any Loan Party or its Subsidiaries (each, a “</w:t>
      </w:r>
      <w:r>
        <w:rPr>
          <w:rFonts w:ascii="Arial" w:cs="Arial" w:eastAsia="Arial" w:hAnsi="Arial"/>
          <w:sz w:val="18"/>
          <w:szCs w:val="18"/>
          <w:u w:val="single" w:color="auto"/>
          <w:color w:val="auto"/>
        </w:rPr>
        <w:t>Report</w:t>
      </w:r>
      <w:r>
        <w:rPr>
          <w:rFonts w:ascii="Arial" w:cs="Arial" w:eastAsia="Arial" w:hAnsi="Arial"/>
          <w:sz w:val="18"/>
          <w:szCs w:val="18"/>
          <w:color w:val="auto"/>
        </w:rPr>
        <w:t>”) prepared by or at the request of Agent, and Agent shall so furnish each Lender with such Reports,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274" w:right="239" w:bottom="1440" w:gutter="0" w:footer="0" w:header="0"/>
        </w:sectPr>
      </w:pPr>
    </w:p>
    <w:bookmarkStart w:id="213" w:name="page214"/>
    <w:bookmarkEnd w:id="213"/>
    <w:p>
      <w:pPr>
        <w:ind w:left="1180" w:hanging="259"/>
        <w:spacing w:after="0"/>
        <w:tabs>
          <w:tab w:leader="none" w:pos="1180" w:val="left"/>
        </w:tabs>
        <w:numPr>
          <w:ilvl w:val="1"/>
          <w:numId w:val="2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expressly agrees and acknowledges that Agent does not (i) make any representation or warranty as to the accuracy of any Report, and</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shall not be liable for any information contained in any Report,</w:t>
      </w:r>
    </w:p>
    <w:p>
      <w:pPr>
        <w:spacing w:after="0" w:line="102" w:lineRule="exact"/>
        <w:rPr>
          <w:rFonts w:ascii="Arial" w:cs="Arial" w:eastAsia="Arial" w:hAnsi="Arial"/>
          <w:sz w:val="18"/>
          <w:szCs w:val="18"/>
          <w:color w:val="auto"/>
        </w:rPr>
      </w:pPr>
    </w:p>
    <w:p>
      <w:pPr>
        <w:ind w:right="140" w:firstLine="921"/>
        <w:spacing w:after="0" w:line="264" w:lineRule="auto"/>
        <w:tabs>
          <w:tab w:leader="none" w:pos="115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expressly agrees and acknowledges that the Reports are not comprehensive audits or examinations, that Agent or other party performing any field examination will inspect only specific information regarding the Loan Parties and their Subsidiaries and will rely significantly upon Parent’s and its Subsidiaries’ books and records, as well as on representations of Borrowers’ personnel,</w:t>
      </w:r>
    </w:p>
    <w:p>
      <w:pPr>
        <w:spacing w:after="0" w:line="73" w:lineRule="exact"/>
        <w:rPr>
          <w:rFonts w:ascii="Arial" w:cs="Arial" w:eastAsia="Arial" w:hAnsi="Arial"/>
          <w:sz w:val="18"/>
          <w:szCs w:val="18"/>
          <w:color w:val="auto"/>
        </w:rPr>
      </w:pPr>
    </w:p>
    <w:p>
      <w:pPr>
        <w:ind w:right="200" w:firstLine="921"/>
        <w:spacing w:after="0" w:line="277" w:lineRule="auto"/>
        <w:tabs>
          <w:tab w:leader="none" w:pos="116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agrees to keep all Reports and other material, non-public information regarding the Loan Parties and their Subsidiaries and their operations, assets, and existing and contemplated business plans in a confidential manner in accordance with </w:t>
      </w:r>
      <w:r>
        <w:rPr>
          <w:rFonts w:ascii="Arial" w:cs="Arial" w:eastAsia="Arial" w:hAnsi="Arial"/>
          <w:sz w:val="18"/>
          <w:szCs w:val="18"/>
          <w:u w:val="single" w:color="auto"/>
          <w:color w:val="auto"/>
        </w:rPr>
        <w:t>Section 17.9</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firstLine="921"/>
        <w:spacing w:after="0" w:line="272" w:lineRule="auto"/>
        <w:tabs>
          <w:tab w:leader="none" w:pos="1158" w:val="left"/>
        </w:tabs>
        <w:numPr>
          <w:ilvl w:val="1"/>
          <w:numId w:val="258"/>
        </w:numPr>
        <w:rPr>
          <w:rFonts w:ascii="Arial" w:cs="Arial" w:eastAsia="Arial" w:hAnsi="Arial"/>
          <w:sz w:val="17"/>
          <w:szCs w:val="17"/>
          <w:color w:val="auto"/>
        </w:rPr>
      </w:pPr>
      <w:r>
        <w:rPr>
          <w:rFonts w:ascii="Arial" w:cs="Arial" w:eastAsia="Arial" w:hAnsi="Arial"/>
          <w:sz w:val="17"/>
          <w:szCs w:val="17"/>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foregoing, (x)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 (z) any time that Agent renders to Borrowers a statement regarding the Loan Account, Agent shall send a copy of such statement to each Lender.</w:t>
      </w:r>
    </w:p>
    <w:p>
      <w:pPr>
        <w:spacing w:after="0" w:line="8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15.17. </w:t>
      </w:r>
      <w:r>
        <w:rPr>
          <w:rFonts w:ascii="Arial" w:cs="Arial" w:eastAsia="Arial" w:hAnsi="Arial"/>
          <w:sz w:val="16"/>
          <w:szCs w:val="16"/>
          <w:b w:val="1"/>
          <w:bCs w:val="1"/>
          <w:u w:val="single" w:color="auto"/>
          <w:color w:val="auto"/>
        </w:rPr>
        <w:t>Several Obligations; No Liability</w:t>
      </w:r>
      <w:r>
        <w:rPr>
          <w:rFonts w:ascii="Arial" w:cs="Arial" w:eastAsia="Arial" w:hAnsi="Arial"/>
          <w:sz w:val="16"/>
          <w:szCs w:val="16"/>
          <w:color w:val="auto"/>
        </w:rPr>
        <w:t>. 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274" w:right="239" w:bottom="1440" w:gutter="0" w:footer="0" w:header="0"/>
        </w:sectPr>
      </w:pPr>
    </w:p>
    <w:bookmarkStart w:id="214" w:name="page215"/>
    <w:bookmarkEnd w:id="214"/>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Arial" w:cs="Arial" w:eastAsia="Arial" w:hAnsi="Arial"/>
          <w:sz w:val="16"/>
          <w:szCs w:val="16"/>
          <w:u w:val="single" w:color="auto"/>
          <w:color w:val="auto"/>
        </w:rPr>
        <w:t>Section 15.7</w:t>
      </w:r>
      <w:r>
        <w:rPr>
          <w:rFonts w:ascii="Arial" w:cs="Arial" w:eastAsia="Arial" w:hAnsi="Arial"/>
          <w:sz w:val="16"/>
          <w:szCs w:val="16"/>
          <w:color w:val="auto"/>
        </w:rPr>
        <w: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spacing w:after="0" w:line="5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15.18. </w:t>
      </w:r>
      <w:r>
        <w:rPr>
          <w:rFonts w:ascii="Arial" w:cs="Arial" w:eastAsia="Arial" w:hAnsi="Arial"/>
          <w:sz w:val="16"/>
          <w:szCs w:val="16"/>
          <w:b w:val="1"/>
          <w:bCs w:val="1"/>
          <w:u w:val="single" w:color="auto"/>
          <w:color w:val="auto"/>
        </w:rPr>
        <w:t>Joint Lead Arrangers, Joint Book Runners, Co-Syndication Agents, and Documentation Agents</w:t>
      </w:r>
      <w:r>
        <w:rPr>
          <w:rFonts w:ascii="Arial" w:cs="Arial" w:eastAsia="Arial" w:hAnsi="Arial"/>
          <w:sz w:val="16"/>
          <w:szCs w:val="16"/>
          <w:color w:val="auto"/>
        </w:rPr>
        <w:t>. Each of the Joint Lead Arrangers, Joint Book Runners, Co-Syndication Agents, and Documentation Agent, in such capacities, shall not have any right, power, obligation, liability, responsibility, or duty under this Agreement other than those applicable to it in its capacity as a Lender, as Agent, as Swing Lender, or as an Issuing Lender. Without limiting the foregoing, each of the Joint Lead Arrangers, Joint Book Runners, Co-Syndication Agents, and Documentation Agent, in such capacities, shall not have or be deemed to have any fiduciary relationship with any Lender or any Loan Party. Each Lender, Agent, Swing Lender, each Issuing Lender, and each Loan Party acknowledges that it has not relied, and will not rely, on the Joint Lead Arrangers, Joint Book Runners, Co-Syndication Agents, and Documentation Agent in deciding to enter into this Agreement or in taking or not taking action hereunder. Each of the Joint Lead Arrangers, Joint Book Runners, Co-Syndication Agents, and Documentation Agent, in such capacities, shall be entitled to resign at any time by giving notice to Agent and Borrowers.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15.19. </w:t>
      </w:r>
      <w:r>
        <w:rPr>
          <w:rFonts w:ascii="Arial" w:cs="Arial" w:eastAsia="Arial" w:hAnsi="Arial"/>
          <w:sz w:val="18"/>
          <w:szCs w:val="18"/>
          <w:b w:val="1"/>
          <w:bCs w:val="1"/>
          <w:u w:val="single" w:color="auto"/>
          <w:color w:val="auto"/>
        </w:rPr>
        <w:t>Appointment for the Province of Quebec</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8" w:lineRule="auto"/>
        <w:tabs>
          <w:tab w:leader="none" w:pos="1157"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Hypothecary Representative</w:t>
      </w:r>
      <w:r>
        <w:rPr>
          <w:rFonts w:ascii="Arial" w:cs="Arial" w:eastAsia="Arial" w:hAnsi="Arial"/>
          <w:sz w:val="18"/>
          <w:szCs w:val="18"/>
          <w:color w:val="auto"/>
        </w:rPr>
        <w:t>. For greater certainty, and without limiting the powers of Agent, each Lender and each Bank Product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irrevocably constitutes Agent as the hypothecary representative within the meaning of Article 2692 of the CCQ in order to hold hypothecs and security granted by any Loan Party on property pursuant to the laws of the Province of Québec in order to secure obligations of any Loan Party hereunder and under the other Loan Documents. The execution by Agent, acting as hypothecary representative prior to this Agreement of any deeds of hypothec or other security documents is hereby ratified and confirmed.</w:t>
      </w:r>
    </w:p>
    <w:p>
      <w:pPr>
        <w:spacing w:after="0" w:line="75"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 xml:space="preserve">Ratification of Hypothecary Representative by Successors and Assignees, Etc. </w:t>
      </w:r>
      <w:r>
        <w:rPr>
          <w:rFonts w:ascii="Arial" w:cs="Arial" w:eastAsia="Arial" w:hAnsi="Arial"/>
          <w:sz w:val="17"/>
          <w:szCs w:val="17"/>
          <w:color w:val="auto"/>
        </w:rPr>
        <w:t>The constitution of Agent as hypothecary representative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have been ratified and confirmed by each Person accepting an assignment of, a participation in or an arrangement in respect of, all or any portion of the rights and obligations of any Lender or Bank Product Provider under this Agreement by the execution of an assignment, including an Assignment and Assumption or other agreement pursuant to which it becomes such assignee or participant, and by each successor Agent by the compliance with such formalities pursuant to which it becomes a successor Agent under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274" w:right="239" w:bottom="1440" w:gutter="0" w:footer="0" w:header="0"/>
        </w:sectPr>
      </w:pPr>
    </w:p>
    <w:bookmarkStart w:id="215" w:name="page216"/>
    <w:bookmarkEnd w:id="215"/>
    <w:p>
      <w:pPr>
        <w:ind w:right="140" w:firstLine="921"/>
        <w:spacing w:after="0" w:line="258" w:lineRule="auto"/>
        <w:tabs>
          <w:tab w:leader="none" w:pos="1157" w:val="left"/>
        </w:tabs>
        <w:numPr>
          <w:ilvl w:val="1"/>
          <w:numId w:val="26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Rights, Etc. of Hypothecary Representative. </w:t>
      </w:r>
      <w:r>
        <w:rPr>
          <w:rFonts w:ascii="Arial" w:cs="Arial" w:eastAsia="Arial" w:hAnsi="Arial"/>
          <w:sz w:val="18"/>
          <w:szCs w:val="18"/>
          <w:color w:val="auto"/>
        </w:rPr>
        <w:t>Agent acting as hypothecary representative shall have the same rights, powers, immunities,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indemnities and exclusions from liability as are prescribed in favor of Agent in this Agreement, which shall apply mutatis mutandis to Agent acting as hypothecary representative. In the event of the resignation of Agent (which shall include its resignation as the hypothecary representative as contemplated in </w:t>
      </w:r>
      <w:r>
        <w:rPr>
          <w:rFonts w:ascii="Arial" w:cs="Arial" w:eastAsia="Arial" w:hAnsi="Arial"/>
          <w:sz w:val="18"/>
          <w:szCs w:val="18"/>
          <w:u w:val="single" w:color="auto"/>
          <w:color w:val="auto"/>
        </w:rPr>
        <w:t>Section 15.19(a)</w:t>
      </w:r>
      <w:r>
        <w:rPr>
          <w:rFonts w:ascii="Arial" w:cs="Arial" w:eastAsia="Arial" w:hAnsi="Arial"/>
          <w:sz w:val="18"/>
          <w:szCs w:val="18"/>
          <w:color w:val="auto"/>
        </w:rPr>
        <w:t xml:space="preserve">) and appointment of a successor Agent under this Agreement, such successor Agent shall also act as the hypothecary representative, as contemplated by </w:t>
      </w:r>
      <w:r>
        <w:rPr>
          <w:rFonts w:ascii="Arial" w:cs="Arial" w:eastAsia="Arial" w:hAnsi="Arial"/>
          <w:sz w:val="18"/>
          <w:szCs w:val="18"/>
          <w:u w:val="single" w:color="auto"/>
          <w:color w:val="auto"/>
        </w:rPr>
        <w:t>Section 15.19(a)</w:t>
      </w:r>
      <w:r>
        <w:rPr>
          <w:rFonts w:ascii="Arial" w:cs="Arial" w:eastAsia="Arial" w:hAnsi="Arial"/>
          <w:sz w:val="18"/>
          <w:szCs w:val="18"/>
          <w:color w:val="auto"/>
        </w:rPr>
        <w:t>.</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WITHHOLDING TAXES.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Sections 16.5</w:t>
      </w:r>
      <w:r>
        <w:rPr>
          <w:rFonts w:ascii="Arial" w:cs="Arial" w:eastAsia="Arial" w:hAnsi="Arial"/>
          <w:sz w:val="17"/>
          <w:szCs w:val="17"/>
          <w:color w:val="auto"/>
        </w:rPr>
        <w:t xml:space="preserve">, </w:t>
      </w:r>
      <w:r>
        <w:rPr>
          <w:rFonts w:ascii="Arial" w:cs="Arial" w:eastAsia="Arial" w:hAnsi="Arial"/>
          <w:sz w:val="17"/>
          <w:szCs w:val="17"/>
          <w:u w:val="single" w:color="auto"/>
          <w:color w:val="auto"/>
        </w:rPr>
        <w:t>16.6</w:t>
      </w:r>
      <w:r>
        <w:rPr>
          <w:rFonts w:ascii="Arial" w:cs="Arial" w:eastAsia="Arial" w:hAnsi="Arial"/>
          <w:sz w:val="17"/>
          <w:szCs w:val="17"/>
          <w:color w:val="auto"/>
        </w:rPr>
        <w:t xml:space="preserve">, </w:t>
      </w:r>
      <w:r>
        <w:rPr>
          <w:rFonts w:ascii="Arial" w:cs="Arial" w:eastAsia="Arial" w:hAnsi="Arial"/>
          <w:sz w:val="17"/>
          <w:szCs w:val="17"/>
          <w:u w:val="single" w:color="auto"/>
          <w:color w:val="auto"/>
        </w:rPr>
        <w:t>16.7</w:t>
      </w:r>
      <w:r>
        <w:rPr>
          <w:rFonts w:ascii="Arial" w:cs="Arial" w:eastAsia="Arial" w:hAnsi="Arial"/>
          <w:sz w:val="17"/>
          <w:szCs w:val="17"/>
          <w:color w:val="auto"/>
        </w:rPr>
        <w:t xml:space="preserve">, </w:t>
      </w:r>
      <w:r>
        <w:rPr>
          <w:rFonts w:ascii="Arial" w:cs="Arial" w:eastAsia="Arial" w:hAnsi="Arial"/>
          <w:sz w:val="17"/>
          <w:szCs w:val="17"/>
          <w:u w:val="single" w:color="auto"/>
          <w:color w:val="auto"/>
        </w:rPr>
        <w:t>16.8</w:t>
      </w:r>
      <w:r>
        <w:rPr>
          <w:rFonts w:ascii="Arial" w:cs="Arial" w:eastAsia="Arial" w:hAnsi="Arial"/>
          <w:sz w:val="17"/>
          <w:szCs w:val="17"/>
          <w:color w:val="auto"/>
        </w:rPr>
        <w:t xml:space="preserve">, </w:t>
      </w:r>
      <w:r>
        <w:rPr>
          <w:rFonts w:ascii="Arial" w:cs="Arial" w:eastAsia="Arial" w:hAnsi="Arial"/>
          <w:sz w:val="17"/>
          <w:szCs w:val="17"/>
          <w:u w:val="single" w:color="auto"/>
          <w:color w:val="auto"/>
        </w:rPr>
        <w:t>16.9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16.10</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UK Tax Provisions</w:t>
      </w:r>
      <w:r>
        <w:rPr>
          <w:rFonts w:ascii="Arial" w:cs="Arial" w:eastAsia="Arial" w:hAnsi="Arial"/>
          <w:sz w:val="17"/>
          <w:szCs w:val="17"/>
          <w:color w:val="auto"/>
        </w:rPr>
        <w:t>”) shall only apply in respect of a UK Loan Party on the</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payment of any amount of interest expressed to be payable to any Lender or Participant or the Agent, and where the UK Tax Provisions apply in respect of a UK Loan Party, the provisions of </w:t>
      </w:r>
      <w:r>
        <w:rPr>
          <w:rFonts w:ascii="Arial" w:cs="Arial" w:eastAsia="Arial" w:hAnsi="Arial"/>
          <w:sz w:val="18"/>
          <w:szCs w:val="18"/>
          <w:u w:val="single" w:color="auto"/>
          <w:color w:val="auto"/>
        </w:rPr>
        <w:t>Sections 16.1</w:t>
      </w:r>
      <w:r>
        <w:rPr>
          <w:rFonts w:ascii="Arial" w:cs="Arial" w:eastAsia="Arial" w:hAnsi="Arial"/>
          <w:sz w:val="18"/>
          <w:szCs w:val="18"/>
          <w:color w:val="auto"/>
        </w:rPr>
        <w:t xml:space="preserve">, </w:t>
      </w:r>
      <w:r>
        <w:rPr>
          <w:rFonts w:ascii="Arial" w:cs="Arial" w:eastAsia="Arial" w:hAnsi="Arial"/>
          <w:sz w:val="18"/>
          <w:szCs w:val="18"/>
          <w:u w:val="single" w:color="auto"/>
          <w:color w:val="auto"/>
        </w:rPr>
        <w:t>16.2</w:t>
      </w:r>
      <w:r>
        <w:rPr>
          <w:rFonts w:ascii="Arial" w:cs="Arial" w:eastAsia="Arial" w:hAnsi="Arial"/>
          <w:sz w:val="18"/>
          <w:szCs w:val="18"/>
          <w:color w:val="auto"/>
        </w:rPr>
        <w:t xml:space="preserve">, </w:t>
      </w:r>
      <w:r>
        <w:rPr>
          <w:rFonts w:ascii="Arial" w:cs="Arial" w:eastAsia="Arial" w:hAnsi="Arial"/>
          <w:sz w:val="18"/>
          <w:szCs w:val="18"/>
          <w:u w:val="single" w:color="auto"/>
          <w:color w:val="auto"/>
        </w:rPr>
        <w:t>16.3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16.4</w:t>
      </w:r>
      <w:r>
        <w:rPr>
          <w:rFonts w:ascii="Arial" w:cs="Arial" w:eastAsia="Arial" w:hAnsi="Arial"/>
          <w:sz w:val="18"/>
          <w:szCs w:val="18"/>
          <w:color w:val="auto"/>
        </w:rPr>
        <w:t xml:space="preserve"> shall not apply to the extent of any conflict with the UK Tax Provisions. For the avoidance of doubt, </w:t>
      </w:r>
      <w:r>
        <w:rPr>
          <w:rFonts w:ascii="Arial" w:cs="Arial" w:eastAsia="Arial" w:hAnsi="Arial"/>
          <w:sz w:val="18"/>
          <w:szCs w:val="18"/>
          <w:u w:val="single" w:color="auto"/>
          <w:color w:val="auto"/>
        </w:rPr>
        <w:t>Section 16.2(e)</w:t>
      </w:r>
      <w:r>
        <w:rPr>
          <w:rFonts w:ascii="Arial" w:cs="Arial" w:eastAsia="Arial" w:hAnsi="Arial"/>
          <w:sz w:val="18"/>
          <w:szCs w:val="18"/>
          <w:color w:val="auto"/>
        </w:rPr>
        <w:t xml:space="preserve"> will continue to apply where the UK Tax Provisions apply in respect of a UK Loan Party. For the purposes of the UK Tax Provisions, the term “Lender” and the related definitions includes any Participant mutatis mutandis.</w:t>
      </w:r>
    </w:p>
    <w:p>
      <w:pPr>
        <w:spacing w:after="0" w:line="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b w:val="1"/>
          <w:bCs w:val="1"/>
          <w:u w:val="single" w:color="auto"/>
          <w:color w:val="auto"/>
        </w:rPr>
        <w:t>Payments</w:t>
      </w:r>
      <w:r>
        <w:rPr>
          <w:rFonts w:ascii="Arial" w:cs="Arial" w:eastAsia="Arial" w:hAnsi="Arial"/>
          <w:sz w:val="16"/>
          <w:szCs w:val="16"/>
          <w:color w:val="auto"/>
        </w:rPr>
        <w:t xml:space="preserve">. All payments made by any Loan Party under any Loan Document will be made free and clear of, and without deduction or withholding for, any 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 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Arial" w:cs="Arial" w:eastAsia="Arial" w:hAnsi="Arial"/>
          <w:sz w:val="16"/>
          <w:szCs w:val="16"/>
          <w:u w:val="single" w:color="auto"/>
          <w:color w:val="auto"/>
        </w:rPr>
        <w:t>Section 16.1</w:t>
      </w:r>
      <w:r>
        <w:rPr>
          <w:rFonts w:ascii="Arial" w:cs="Arial" w:eastAsia="Arial" w:hAnsi="Arial"/>
          <w:sz w:val="16"/>
          <w:szCs w:val="16"/>
          <w:color w:val="auto"/>
        </w:rPr>
        <w:t xml:space="preserve"> after withholding or deduction for or on account of any Indemnified Taxes, will not be less than the amount provided for had such Taxes not been required to have been withheld or paid. The Loan Parties will promptly pay any Other Taxes or reimburse Agent for such Other Taxes upon Agent’s demand. The Loan Parties shall jointly and severally indemnify each Indemnified Person (as defined in </w:t>
      </w:r>
      <w:r>
        <w:rPr>
          <w:rFonts w:ascii="Arial" w:cs="Arial" w:eastAsia="Arial" w:hAnsi="Arial"/>
          <w:sz w:val="16"/>
          <w:szCs w:val="16"/>
          <w:u w:val="single" w:color="auto"/>
          <w:color w:val="auto"/>
        </w:rPr>
        <w:t>Section 10.3</w:t>
      </w:r>
      <w:r>
        <w:rPr>
          <w:rFonts w:ascii="Arial" w:cs="Arial" w:eastAsia="Arial" w:hAnsi="Arial"/>
          <w:sz w:val="16"/>
          <w:szCs w:val="16"/>
          <w:color w:val="auto"/>
        </w:rPr>
        <w:t>) (collectively a “</w:t>
      </w:r>
      <w:r>
        <w:rPr>
          <w:rFonts w:ascii="Arial" w:cs="Arial" w:eastAsia="Arial" w:hAnsi="Arial"/>
          <w:sz w:val="16"/>
          <w:szCs w:val="16"/>
          <w:u w:val="single" w:color="auto"/>
          <w:color w:val="auto"/>
        </w:rPr>
        <w:t>Tax Indemnitee</w:t>
      </w:r>
      <w:r>
        <w:rPr>
          <w:rFonts w:ascii="Arial" w:cs="Arial" w:eastAsia="Arial" w:hAnsi="Arial"/>
          <w:sz w:val="16"/>
          <w:szCs w:val="16"/>
          <w:color w:val="auto"/>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bad faith or willful misconduct of such Tax Indemnitee). The obligations of the Loan Parties under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survive the termination of this Agreement, the resignation and replacement of the Agent, and the repayment of the Obligations. Notwithstanding anything to the contrary in this </w:t>
      </w:r>
      <w:r>
        <w:rPr>
          <w:rFonts w:ascii="Arial" w:cs="Arial" w:eastAsia="Arial" w:hAnsi="Arial"/>
          <w:sz w:val="16"/>
          <w:szCs w:val="16"/>
          <w:u w:val="single" w:color="auto"/>
          <w:color w:val="auto"/>
        </w:rPr>
        <w:t>Section 16</w:t>
      </w:r>
      <w:r>
        <w:rPr>
          <w:rFonts w:ascii="Arial" w:cs="Arial" w:eastAsia="Arial" w:hAnsi="Arial"/>
          <w:sz w:val="16"/>
          <w:szCs w:val="16"/>
          <w:color w:val="auto"/>
        </w:rPr>
        <w:t>, no UK Loan Party or Canadian Loan Party shall be liable or responsible for or deemed to be a guarantor of obligations (within the meaning of Section 956(c) of the IRC) of the US Loan Parties.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270" w:right="239" w:bottom="1440" w:gutter="0" w:footer="0" w:header="0"/>
        </w:sectPr>
      </w:pPr>
    </w:p>
    <w:bookmarkStart w:id="216" w:name="page217"/>
    <w:bookmarkEnd w:id="2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16.2. </w:t>
      </w:r>
      <w:r>
        <w:rPr>
          <w:rFonts w:ascii="Arial" w:cs="Arial" w:eastAsia="Arial" w:hAnsi="Arial"/>
          <w:sz w:val="18"/>
          <w:szCs w:val="18"/>
          <w:b w:val="1"/>
          <w:bCs w:val="1"/>
          <w:u w:val="single" w:color="auto"/>
          <w:color w:val="auto"/>
        </w:rPr>
        <w:t>Exemptions</w:t>
      </w:r>
      <w:r>
        <w:rPr>
          <w:rFonts w:ascii="Arial" w:cs="Arial" w:eastAsia="Arial" w:hAnsi="Arial"/>
          <w:sz w:val="18"/>
          <w:szCs w:val="18"/>
          <w:color w:val="auto"/>
        </w:rPr>
        <w:t>.</w:t>
      </w:r>
    </w:p>
    <w:p>
      <w:pPr>
        <w:spacing w:after="0" w:line="121" w:lineRule="exact"/>
        <w:rPr>
          <w:sz w:val="20"/>
          <w:szCs w:val="20"/>
          <w:color w:val="auto"/>
        </w:rPr>
      </w:pPr>
    </w:p>
    <w:p>
      <w:pPr>
        <w:jc w:val="both"/>
        <w:ind w:right="40" w:firstLine="921"/>
        <w:spacing w:after="0" w:line="264" w:lineRule="auto"/>
        <w:tabs>
          <w:tab w:leader="none" w:pos="115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Administrative Borrower on behalf of all Borrowers one of the following before receiving its first payment under this Agreement:</w:t>
      </w:r>
    </w:p>
    <w:p>
      <w:pPr>
        <w:spacing w:after="0" w:line="73" w:lineRule="exact"/>
        <w:rPr>
          <w:rFonts w:ascii="Arial" w:cs="Arial" w:eastAsia="Arial" w:hAnsi="Arial"/>
          <w:sz w:val="18"/>
          <w:szCs w:val="18"/>
          <w:color w:val="auto"/>
        </w:rPr>
      </w:pPr>
    </w:p>
    <w:p>
      <w:pPr>
        <w:ind w:right="40" w:firstLine="1492"/>
        <w:spacing w:after="0" w:line="257" w:lineRule="auto"/>
        <w:tabs>
          <w:tab w:leader="none" w:pos="169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Administrative Borrower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80" w:lineRule="exact"/>
        <w:rPr>
          <w:rFonts w:ascii="Arial" w:cs="Arial" w:eastAsia="Arial" w:hAnsi="Arial"/>
          <w:sz w:val="18"/>
          <w:szCs w:val="18"/>
          <w:color w:val="auto"/>
        </w:rPr>
      </w:pPr>
    </w:p>
    <w:p>
      <w:pPr>
        <w:ind w:right="440" w:firstLine="1492"/>
        <w:spacing w:after="0" w:line="277" w:lineRule="auto"/>
        <w:tabs>
          <w:tab w:leader="none" w:pos="174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62" w:lineRule="exact"/>
        <w:rPr>
          <w:rFonts w:ascii="Arial" w:cs="Arial" w:eastAsia="Arial" w:hAnsi="Arial"/>
          <w:sz w:val="18"/>
          <w:szCs w:val="18"/>
          <w:color w:val="auto"/>
        </w:rPr>
      </w:pPr>
    </w:p>
    <w:p>
      <w:pPr>
        <w:ind w:firstLine="1492"/>
        <w:spacing w:after="0" w:line="342" w:lineRule="auto"/>
        <w:tabs>
          <w:tab w:leader="none" w:pos="179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15" w:lineRule="exact"/>
        <w:rPr>
          <w:rFonts w:ascii="Arial" w:cs="Arial" w:eastAsia="Arial" w:hAnsi="Arial"/>
          <w:sz w:val="16"/>
          <w:szCs w:val="16"/>
          <w:color w:val="auto"/>
        </w:rPr>
      </w:pPr>
    </w:p>
    <w:p>
      <w:pPr>
        <w:ind w:right="20" w:firstLine="1492"/>
        <w:spacing w:after="0" w:line="259" w:lineRule="auto"/>
        <w:tabs>
          <w:tab w:leader="none" w:pos="178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78" w:lineRule="exact"/>
        <w:rPr>
          <w:rFonts w:ascii="Arial" w:cs="Arial" w:eastAsia="Arial" w:hAnsi="Arial"/>
          <w:sz w:val="18"/>
          <w:szCs w:val="18"/>
          <w:color w:val="auto"/>
        </w:rPr>
      </w:pPr>
    </w:p>
    <w:p>
      <w:pPr>
        <w:ind w:right="200" w:firstLine="1492"/>
        <w:spacing w:after="0" w:line="308" w:lineRule="auto"/>
        <w:tabs>
          <w:tab w:leader="none" w:pos="1738"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38" w:lineRule="exact"/>
        <w:rPr>
          <w:rFonts w:ascii="Arial" w:cs="Arial" w:eastAsia="Arial" w:hAnsi="Arial"/>
          <w:sz w:val="17"/>
          <w:szCs w:val="17"/>
          <w:color w:val="auto"/>
        </w:rPr>
      </w:pPr>
    </w:p>
    <w:p>
      <w:pPr>
        <w:ind w:right="40" w:firstLine="921"/>
        <w:spacing w:after="0" w:line="264" w:lineRule="auto"/>
        <w:tabs>
          <w:tab w:leader="none" w:pos="116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Each Lender or Participant shall provide new forms (or successor forms) upon the expiration or obsolescence of any previously delivered forms and to promptly notify Agent and Administrative Borrower (or, in the case of a Participant, to the Lender granting the participation only) of any change in circumstances which would modify or render invalid any claimed exemption or reduction.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270" w:right="239" w:bottom="1440" w:gutter="0" w:footer="0" w:header="0"/>
        </w:sectPr>
      </w:pPr>
    </w:p>
    <w:bookmarkStart w:id="217" w:name="page218"/>
    <w:bookmarkEnd w:id="217"/>
    <w:p>
      <w:pPr>
        <w:ind w:left="-20" w:right="60" w:firstLine="921"/>
        <w:spacing w:after="0" w:line="270" w:lineRule="auto"/>
        <w:tabs>
          <w:tab w:leader="none" w:pos="1138" w:val="left"/>
        </w:tabs>
        <w:numPr>
          <w:ilvl w:val="0"/>
          <w:numId w:val="2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 Lender or Participant claims an exemption from withholding tax in a jurisdiction other than the United States, such Lender or such Participant agrees with and in favor of Agent and Borrowers, to deliver to Agent and Administrative Borrower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16.2(c)</w:t>
      </w:r>
      <w:r>
        <w:rPr>
          <w:rFonts w:ascii="Arial" w:cs="Arial" w:eastAsia="Arial" w:hAnsi="Arial"/>
          <w:sz w:val="17"/>
          <w:szCs w:val="17"/>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Administrative Borrower (or, in the case of a Participant, to the Lender granting the participation only) of any change in circumstances which would modify or render invalid any claimed exemption or reduction.</w:t>
      </w:r>
    </w:p>
    <w:p>
      <w:pPr>
        <w:spacing w:after="0" w:line="69" w:lineRule="exact"/>
        <w:rPr>
          <w:rFonts w:ascii="Arial" w:cs="Arial" w:eastAsia="Arial" w:hAnsi="Arial"/>
          <w:sz w:val="17"/>
          <w:szCs w:val="17"/>
          <w:color w:val="auto"/>
        </w:rPr>
      </w:pPr>
    </w:p>
    <w:p>
      <w:pPr>
        <w:ind w:left="-20" w:firstLine="921"/>
        <w:spacing w:after="0" w:line="290" w:lineRule="auto"/>
        <w:tabs>
          <w:tab w:leader="none" w:pos="114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Administrative Borrower (or, in the case of a sale of a participation interest, to the Lender granting the participation only) of the percentage amount in which it is no longer the beneficial owner of Obligations of Borrowers to such Lender or Participant. To the extent of such percentage amount, Agent and Administrative Borrower will treat such Lender’s or such Participant’s documentation provided pursuant to </w:t>
      </w:r>
      <w:r>
        <w:rPr>
          <w:rFonts w:ascii="Arial" w:cs="Arial" w:eastAsia="Arial" w:hAnsi="Arial"/>
          <w:sz w:val="16"/>
          <w:szCs w:val="16"/>
          <w:u w:val="single" w:color="auto"/>
          <w:color w:val="auto"/>
        </w:rPr>
        <w:t>Section 16.2(a)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16.2(c)</w:t>
      </w:r>
      <w:r>
        <w:rPr>
          <w:rFonts w:ascii="Arial" w:cs="Arial" w:eastAsia="Arial" w:hAnsi="Arial"/>
          <w:sz w:val="16"/>
          <w:szCs w:val="16"/>
          <w:color w:val="auto"/>
        </w:rPr>
        <w:t xml:space="preserve"> as no longer valid. With respect to such percentage amount, such Participant or Assignee may provide new documentation, pursuant to </w:t>
      </w:r>
      <w:r>
        <w:rPr>
          <w:rFonts w:ascii="Arial" w:cs="Arial" w:eastAsia="Arial" w:hAnsi="Arial"/>
          <w:sz w:val="16"/>
          <w:szCs w:val="16"/>
          <w:u w:val="single" w:color="auto"/>
          <w:color w:val="auto"/>
        </w:rPr>
        <w:t>Section 16.2(a)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16.2(c)</w:t>
      </w:r>
      <w:r>
        <w:rPr>
          <w:rFonts w:ascii="Arial" w:cs="Arial" w:eastAsia="Arial" w:hAnsi="Arial"/>
          <w:sz w:val="16"/>
          <w:szCs w:val="16"/>
          <w:color w:val="auto"/>
        </w:rPr>
        <w:t xml:space="preserve">, if applicable. Borrowers agree that each Participant shall be entitled to the benefits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with respect to its participation in any portion of the Commitments and the Obligations so long as such Participant complies with the obligations set forth in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with respect thereto.</w:t>
      </w:r>
    </w:p>
    <w:p>
      <w:pPr>
        <w:spacing w:after="0" w:line="58" w:lineRule="exact"/>
        <w:rPr>
          <w:rFonts w:ascii="Arial" w:cs="Arial" w:eastAsia="Arial" w:hAnsi="Arial"/>
          <w:sz w:val="16"/>
          <w:szCs w:val="16"/>
          <w:color w:val="auto"/>
        </w:rPr>
      </w:pPr>
    </w:p>
    <w:p>
      <w:pPr>
        <w:ind w:left="-20" w:right="40" w:firstLine="921"/>
        <w:spacing w:after="0" w:line="253" w:lineRule="auto"/>
        <w:tabs>
          <w:tab w:leader="none" w:pos="113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00"/>
          </w:cols>
          <w:pgMar w:left="260" w:top="274" w:right="239" w:bottom="1440" w:gutter="0" w:footer="0" w:header="0"/>
        </w:sectPr>
      </w:pPr>
    </w:p>
    <w:bookmarkStart w:id="218" w:name="page219"/>
    <w:bookmarkEnd w:id="2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16.3. </w:t>
      </w:r>
      <w:r>
        <w:rPr>
          <w:rFonts w:ascii="Arial" w:cs="Arial" w:eastAsia="Arial" w:hAnsi="Arial"/>
          <w:sz w:val="18"/>
          <w:szCs w:val="18"/>
          <w:b w:val="1"/>
          <w:bCs w:val="1"/>
          <w:u w:val="single" w:color="auto"/>
          <w:color w:val="auto"/>
        </w:rPr>
        <w:t>Reductions</w:t>
      </w:r>
      <w:r>
        <w:rPr>
          <w:rFonts w:ascii="Arial" w:cs="Arial" w:eastAsia="Arial" w:hAnsi="Arial"/>
          <w:sz w:val="18"/>
          <w:szCs w:val="18"/>
          <w:color w:val="auto"/>
        </w:rPr>
        <w:t>.</w:t>
      </w:r>
    </w:p>
    <w:p>
      <w:pPr>
        <w:spacing w:after="0" w:line="121" w:lineRule="exact"/>
        <w:rPr>
          <w:sz w:val="20"/>
          <w:szCs w:val="20"/>
          <w:color w:val="auto"/>
        </w:rPr>
      </w:pPr>
    </w:p>
    <w:p>
      <w:pPr>
        <w:ind w:right="240" w:firstLine="921"/>
        <w:spacing w:after="0" w:line="276" w:lineRule="auto"/>
        <w:tabs>
          <w:tab w:leader="none" w:pos="115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Arial" w:cs="Arial" w:eastAsia="Arial" w:hAnsi="Arial"/>
          <w:sz w:val="17"/>
          <w:szCs w:val="17"/>
          <w:u w:val="single" w:color="auto"/>
          <w:color w:val="auto"/>
        </w:rPr>
        <w:t>Section 16.2(a)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16.2(c)</w:t>
      </w:r>
      <w:r>
        <w:rPr>
          <w:rFonts w:ascii="Arial" w:cs="Arial" w:eastAsia="Arial" w:hAnsi="Arial"/>
          <w:sz w:val="17"/>
          <w:szCs w:val="17"/>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64" w:lineRule="exact"/>
        <w:rPr>
          <w:rFonts w:ascii="Arial" w:cs="Arial" w:eastAsia="Arial" w:hAnsi="Arial"/>
          <w:sz w:val="17"/>
          <w:szCs w:val="17"/>
          <w:color w:val="auto"/>
        </w:rPr>
      </w:pPr>
    </w:p>
    <w:p>
      <w:pPr>
        <w:ind w:firstLine="921"/>
        <w:spacing w:after="0" w:line="270" w:lineRule="auto"/>
        <w:tabs>
          <w:tab w:leader="none" w:pos="116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66"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b w:val="1"/>
          <w:bCs w:val="1"/>
          <w:u w:val="single" w:color="auto"/>
          <w:color w:val="auto"/>
        </w:rPr>
        <w:t>Refunds</w:t>
      </w:r>
      <w:r>
        <w:rPr>
          <w:rFonts w:ascii="Arial" w:cs="Arial" w:eastAsia="Arial" w:hAnsi="Arial"/>
          <w:sz w:val="17"/>
          <w:szCs w:val="17"/>
          <w:color w:val="auto"/>
        </w:rPr>
        <w:t xml:space="preserve">. If Agent or a Lender determines, in its sole discretion, that it has received a refund of any Indemnified Taxes to which the Loan Parties have paid additional amounts pursuant to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so long as no Event of Default has occurred and is continuing, it shall pay over such refund to the Administrative Borrower on behalf of the Loan Parties (but only to the extent of payments made, or additional amounts paid, by the Loan Parties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bad faith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Arial" w:cs="Arial" w:eastAsia="Arial" w:hAnsi="Arial"/>
          <w:sz w:val="17"/>
          <w:szCs w:val="17"/>
          <w:u w:val="single" w:color="auto"/>
          <w:color w:val="auto"/>
        </w:rPr>
        <w:t>Section 16.4</w:t>
      </w:r>
      <w:r>
        <w:rPr>
          <w:rFonts w:ascii="Arial" w:cs="Arial" w:eastAsia="Arial" w:hAnsi="Arial"/>
          <w:sz w:val="17"/>
          <w:szCs w:val="17"/>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00"/>
          </w:cols>
          <w:pgMar w:left="240" w:top="270" w:right="259" w:bottom="1440" w:gutter="0" w:footer="0" w:header="0"/>
        </w:sectPr>
      </w:pPr>
    </w:p>
    <w:bookmarkStart w:id="219" w:name="page220"/>
    <w:bookmarkEnd w:id="2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16.5. </w:t>
      </w:r>
      <w:r>
        <w:rPr>
          <w:rFonts w:ascii="Arial" w:cs="Arial" w:eastAsia="Arial" w:hAnsi="Arial"/>
          <w:sz w:val="18"/>
          <w:szCs w:val="18"/>
          <w:b w:val="1"/>
          <w:bCs w:val="1"/>
          <w:u w:val="single" w:color="auto"/>
          <w:color w:val="auto"/>
        </w:rPr>
        <w:t>UK Tax Gross-Up.</w:t>
      </w:r>
    </w:p>
    <w:p>
      <w:pPr>
        <w:spacing w:after="0" w:line="121" w:lineRule="exact"/>
        <w:rPr>
          <w:sz w:val="20"/>
          <w:szCs w:val="20"/>
          <w:color w:val="auto"/>
        </w:rPr>
      </w:pPr>
    </w:p>
    <w:p>
      <w:pPr>
        <w:ind w:left="-20" w:right="40" w:firstLine="921"/>
        <w:spacing w:after="0" w:line="277" w:lineRule="auto"/>
        <w:tabs>
          <w:tab w:leader="none" w:pos="113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Each UK Loan Party shall make all payments to be made by it under any Loan Document without any Tax Deduction unless a Tax Deduction is required by law.</w:t>
      </w:r>
    </w:p>
    <w:p>
      <w:pPr>
        <w:spacing w:after="0" w:line="62" w:lineRule="exact"/>
        <w:rPr>
          <w:rFonts w:ascii="Arial" w:cs="Arial" w:eastAsia="Arial" w:hAnsi="Arial"/>
          <w:sz w:val="18"/>
          <w:szCs w:val="18"/>
          <w:color w:val="auto"/>
        </w:rPr>
      </w:pPr>
    </w:p>
    <w:p>
      <w:pPr>
        <w:jc w:val="both"/>
        <w:ind w:left="-20" w:right="180" w:firstLine="921"/>
        <w:spacing w:after="0" w:line="312" w:lineRule="auto"/>
        <w:tabs>
          <w:tab w:leader="none" w:pos="114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 UK Borrower shall, promptly upon becoming aware that a UK Loan Party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UK Borrowers and that UK Loan Party (where applicable).</w:t>
      </w:r>
    </w:p>
    <w:p>
      <w:pPr>
        <w:spacing w:after="0" w:line="38" w:lineRule="exact"/>
        <w:rPr>
          <w:rFonts w:ascii="Arial" w:cs="Arial" w:eastAsia="Arial" w:hAnsi="Arial"/>
          <w:sz w:val="16"/>
          <w:szCs w:val="16"/>
          <w:color w:val="auto"/>
        </w:rPr>
      </w:pPr>
    </w:p>
    <w:p>
      <w:pPr>
        <w:ind w:left="-20" w:right="60" w:firstLine="921"/>
        <w:spacing w:after="0" w:line="264" w:lineRule="auto"/>
        <w:tabs>
          <w:tab w:leader="none" w:pos="113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 UK Loan Party, the amount of the payment due from that UK Loan Party shall be increased to an amount which (after making any Tax Deduction) leaves an amount equal to the payment which would have been due if no Tax Deduction had been required.</w:t>
      </w:r>
    </w:p>
    <w:p>
      <w:pPr>
        <w:spacing w:after="0" w:line="73" w:lineRule="exact"/>
        <w:rPr>
          <w:rFonts w:ascii="Arial" w:cs="Arial" w:eastAsia="Arial" w:hAnsi="Arial"/>
          <w:sz w:val="18"/>
          <w:szCs w:val="18"/>
          <w:color w:val="auto"/>
        </w:rPr>
      </w:pPr>
    </w:p>
    <w:p>
      <w:pPr>
        <w:ind w:left="-20" w:right="420" w:firstLine="921"/>
        <w:spacing w:after="0" w:line="277" w:lineRule="auto"/>
        <w:tabs>
          <w:tab w:leader="none" w:pos="114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 payment shall not be increased under </w:t>
      </w:r>
      <w:r>
        <w:rPr>
          <w:rFonts w:ascii="Arial" w:cs="Arial" w:eastAsia="Arial" w:hAnsi="Arial"/>
          <w:sz w:val="18"/>
          <w:szCs w:val="18"/>
          <w:u w:val="single" w:color="auto"/>
          <w:color w:val="auto"/>
        </w:rPr>
        <w:t>Section 16.5(c)</w:t>
      </w:r>
      <w:r>
        <w:rPr>
          <w:rFonts w:ascii="Arial" w:cs="Arial" w:eastAsia="Arial" w:hAnsi="Arial"/>
          <w:sz w:val="18"/>
          <w:szCs w:val="18"/>
          <w:color w:val="auto"/>
        </w:rPr>
        <w:t xml:space="preserve"> above by reason of a Tax Deduction on account of Taxes imposed by the United Kingdom if, on the date on which the payment falls due:</w:t>
      </w:r>
    </w:p>
    <w:p>
      <w:pPr>
        <w:spacing w:after="0" w:line="62" w:lineRule="exact"/>
        <w:rPr>
          <w:rFonts w:ascii="Arial" w:cs="Arial" w:eastAsia="Arial" w:hAnsi="Arial"/>
          <w:sz w:val="18"/>
          <w:szCs w:val="18"/>
          <w:color w:val="auto"/>
        </w:rPr>
      </w:pPr>
    </w:p>
    <w:p>
      <w:pPr>
        <w:ind w:left="-20" w:firstLine="1492"/>
        <w:spacing w:after="0" w:line="259" w:lineRule="auto"/>
        <w:tabs>
          <w:tab w:leader="none" w:pos="167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78" w:lineRule="exact"/>
        <w:rPr>
          <w:rFonts w:ascii="Arial" w:cs="Arial" w:eastAsia="Arial" w:hAnsi="Arial"/>
          <w:sz w:val="18"/>
          <w:szCs w:val="18"/>
          <w:color w:val="auto"/>
        </w:rPr>
      </w:pPr>
    </w:p>
    <w:p>
      <w:pPr>
        <w:ind w:left="1740" w:hanging="268"/>
        <w:spacing w:after="0"/>
        <w:tabs>
          <w:tab w:leader="none" w:pos="17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(a)(ii) of the definition of Qualifying Lender, and:</w:t>
      </w:r>
    </w:p>
    <w:p>
      <w:pPr>
        <w:spacing w:after="0" w:line="117" w:lineRule="exact"/>
        <w:rPr>
          <w:rFonts w:ascii="Arial" w:cs="Arial" w:eastAsia="Arial" w:hAnsi="Arial"/>
          <w:sz w:val="18"/>
          <w:szCs w:val="18"/>
          <w:color w:val="auto"/>
        </w:rPr>
      </w:pPr>
    </w:p>
    <w:p>
      <w:pPr>
        <w:ind w:left="-20" w:right="80" w:firstLine="1948"/>
        <w:spacing w:after="0" w:line="264" w:lineRule="auto"/>
        <w:tabs>
          <w:tab w:leader="none" w:pos="2215" w:val="left"/>
        </w:tabs>
        <w:numPr>
          <w:ilvl w:val="2"/>
          <w:numId w:val="265"/>
        </w:numPr>
        <w:rPr>
          <w:rFonts w:ascii="Arial" w:cs="Arial" w:eastAsia="Arial" w:hAnsi="Arial"/>
          <w:sz w:val="18"/>
          <w:szCs w:val="18"/>
          <w:color w:val="auto"/>
        </w:rPr>
      </w:pPr>
      <w:r>
        <w:rPr>
          <w:rFonts w:ascii="Arial" w:cs="Arial" w:eastAsia="Arial" w:hAnsi="Arial"/>
          <w:sz w:val="18"/>
          <w:szCs w:val="18"/>
          <w:color w:val="auto"/>
        </w:rPr>
        <w:t>an officer of HM Revenue &amp; Customs has given (and not revoked) a direction (a “</w:t>
      </w:r>
      <w:r>
        <w:rPr>
          <w:rFonts w:ascii="Arial" w:cs="Arial" w:eastAsia="Arial" w:hAnsi="Arial"/>
          <w:sz w:val="18"/>
          <w:szCs w:val="18"/>
          <w:u w:val="single" w:color="auto"/>
          <w:color w:val="auto"/>
        </w:rPr>
        <w:t>Direction</w:t>
      </w:r>
      <w:r>
        <w:rPr>
          <w:rFonts w:ascii="Arial" w:cs="Arial" w:eastAsia="Arial" w:hAnsi="Arial"/>
          <w:sz w:val="18"/>
          <w:szCs w:val="18"/>
          <w:color w:val="auto"/>
        </w:rPr>
        <w:t>”) under section 931 of the ITA which relates to the payment and that Lender has received from the UK Loan Party making the payment or a UK Borrower a certified copy of that Direction; and</w:t>
      </w:r>
    </w:p>
    <w:p>
      <w:pPr>
        <w:spacing w:after="0" w:line="73" w:lineRule="exact"/>
        <w:rPr>
          <w:rFonts w:ascii="Arial" w:cs="Arial" w:eastAsia="Arial" w:hAnsi="Arial"/>
          <w:sz w:val="18"/>
          <w:szCs w:val="18"/>
          <w:color w:val="auto"/>
        </w:rPr>
      </w:pPr>
    </w:p>
    <w:p>
      <w:pPr>
        <w:ind w:left="2220" w:hanging="292"/>
        <w:spacing w:after="0"/>
        <w:tabs>
          <w:tab w:leader="none" w:pos="2220" w:val="left"/>
        </w:tabs>
        <w:numPr>
          <w:ilvl w:val="2"/>
          <w:numId w:val="265"/>
        </w:numPr>
        <w:rPr>
          <w:rFonts w:ascii="Arial" w:cs="Arial" w:eastAsia="Arial" w:hAnsi="Arial"/>
          <w:sz w:val="17"/>
          <w:szCs w:val="17"/>
          <w:color w:val="auto"/>
        </w:rPr>
      </w:pPr>
      <w:r>
        <w:rPr>
          <w:rFonts w:ascii="Arial" w:cs="Arial" w:eastAsia="Arial" w:hAnsi="Arial"/>
          <w:sz w:val="17"/>
          <w:szCs w:val="17"/>
          <w:color w:val="auto"/>
        </w:rPr>
        <w:t>the payment could have been made to the Lender without any Tax Deduction if that Direction had not been made; or</w:t>
      </w:r>
    </w:p>
    <w:p>
      <w:pPr>
        <w:spacing w:after="0" w:line="128" w:lineRule="exact"/>
        <w:rPr>
          <w:rFonts w:ascii="Arial" w:cs="Arial" w:eastAsia="Arial" w:hAnsi="Arial"/>
          <w:sz w:val="17"/>
          <w:szCs w:val="17"/>
          <w:color w:val="auto"/>
        </w:rPr>
      </w:pPr>
    </w:p>
    <w:p>
      <w:pPr>
        <w:ind w:left="1780" w:hanging="308"/>
        <w:spacing w:after="0"/>
        <w:tabs>
          <w:tab w:leader="none" w:pos="17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clause (a)(ii) of the definition of Qualifying Lender and:</w:t>
      </w:r>
    </w:p>
    <w:p>
      <w:pPr>
        <w:spacing w:after="0" w:line="117" w:lineRule="exact"/>
        <w:rPr>
          <w:rFonts w:ascii="Arial" w:cs="Arial" w:eastAsia="Arial" w:hAnsi="Arial"/>
          <w:sz w:val="18"/>
          <w:szCs w:val="18"/>
          <w:color w:val="auto"/>
        </w:rPr>
      </w:pPr>
    </w:p>
    <w:p>
      <w:pPr>
        <w:ind w:left="2220" w:hanging="292"/>
        <w:spacing w:after="0"/>
        <w:tabs>
          <w:tab w:leader="none" w:pos="2220" w:val="left"/>
        </w:tabs>
        <w:numPr>
          <w:ilvl w:val="2"/>
          <w:numId w:val="265"/>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the UK Borrower;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380"/>
          </w:cols>
          <w:pgMar w:left="260" w:top="270" w:right="259" w:bottom="1440" w:gutter="0" w:footer="0" w:header="0"/>
        </w:sectPr>
      </w:pPr>
    </w:p>
    <w:bookmarkStart w:id="220" w:name="page221"/>
    <w:bookmarkEnd w:id="220"/>
    <w:p>
      <w:pPr>
        <w:jc w:val="both"/>
        <w:ind w:firstLine="1948"/>
        <w:spacing w:after="0" w:line="264" w:lineRule="auto"/>
        <w:tabs>
          <w:tab w:leader="none" w:pos="2225" w:val="left"/>
        </w:tabs>
        <w:numPr>
          <w:ilvl w:val="2"/>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payment could have been made to the Lender without any Tax Deduction if the Lender had given a Tax Confirmation to the UK Borrower, on the basis that the Tax Confirmation would have enabled the relevant UK Borrower to have formed a reasonable belief that the payment was an “excepted payment” for the purpose of section 930 of the ITA; or</w:t>
      </w:r>
    </w:p>
    <w:p>
      <w:pPr>
        <w:spacing w:after="0" w:line="73" w:lineRule="exact"/>
        <w:rPr>
          <w:rFonts w:ascii="Arial" w:cs="Arial" w:eastAsia="Arial" w:hAnsi="Arial"/>
          <w:sz w:val="18"/>
          <w:szCs w:val="18"/>
          <w:color w:val="auto"/>
        </w:rPr>
      </w:pPr>
    </w:p>
    <w:p>
      <w:pPr>
        <w:ind w:right="320" w:firstLine="1492"/>
        <w:spacing w:after="0" w:line="264" w:lineRule="auto"/>
        <w:tabs>
          <w:tab w:leader="none" w:pos="1788"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the relevant Lender is a Treaty Lender and the UK Loan Party making the payment is able to demonstrate that the payment could have been made to the Lender without the Tax Deduction had that Lender complied with its obligations under </w:t>
      </w:r>
      <w:r>
        <w:rPr>
          <w:rFonts w:ascii="Arial" w:cs="Arial" w:eastAsia="Arial" w:hAnsi="Arial"/>
          <w:sz w:val="18"/>
          <w:szCs w:val="18"/>
          <w:u w:val="single" w:color="auto"/>
          <w:color w:val="auto"/>
        </w:rPr>
        <w:t>Section 16.5(g)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16.5(h)</w:t>
      </w:r>
      <w:r>
        <w:rPr>
          <w:rFonts w:ascii="Arial" w:cs="Arial" w:eastAsia="Arial" w:hAnsi="Arial"/>
          <w:sz w:val="18"/>
          <w:szCs w:val="18"/>
          <w:color w:val="auto"/>
        </w:rPr>
        <w:t xml:space="preserve"> (as applicable) below.</w:t>
      </w:r>
    </w:p>
    <w:p>
      <w:pPr>
        <w:spacing w:after="0" w:line="73" w:lineRule="exact"/>
        <w:rPr>
          <w:rFonts w:ascii="Arial" w:cs="Arial" w:eastAsia="Arial" w:hAnsi="Arial"/>
          <w:sz w:val="18"/>
          <w:szCs w:val="18"/>
          <w:color w:val="auto"/>
        </w:rPr>
      </w:pPr>
    </w:p>
    <w:p>
      <w:pPr>
        <w:ind w:right="340" w:firstLine="921"/>
        <w:spacing w:after="0" w:line="277" w:lineRule="auto"/>
        <w:tabs>
          <w:tab w:leader="none" w:pos="115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a UK Loan Party is required to make a Tax Deduction, that UK Loan Party shall make that Tax Deduction and any payment required in connection with that Tax Deduction within the time allowed and in the minimum amount required by law.</w:t>
      </w:r>
    </w:p>
    <w:p>
      <w:pPr>
        <w:spacing w:after="0" w:line="62" w:lineRule="exact"/>
        <w:rPr>
          <w:rFonts w:ascii="Arial" w:cs="Arial" w:eastAsia="Arial" w:hAnsi="Arial"/>
          <w:sz w:val="18"/>
          <w:szCs w:val="18"/>
          <w:color w:val="auto"/>
        </w:rPr>
      </w:pPr>
    </w:p>
    <w:p>
      <w:pPr>
        <w:ind w:right="40" w:firstLine="921"/>
        <w:spacing w:after="0" w:line="312" w:lineRule="auto"/>
        <w:tabs>
          <w:tab w:leader="none" w:pos="113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Within 30 days of making either a Tax Deduction or any payment required in connection with that Tax Deduction, the UK Loan Party making that Tax Deduction shall deliver to the Agent for the Lender entitled to the payment a statement under section 975 of the ITA or other evidence reasonably satisfactory to that Lender that the Tax Deduction has been made or (as applicable) any appropriate payment paid to the relevant taxing authority.</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w:t>
      </w:r>
    </w:p>
    <w:p>
      <w:pPr>
        <w:spacing w:after="0" w:line="117" w:lineRule="exact"/>
        <w:rPr>
          <w:sz w:val="20"/>
          <w:szCs w:val="20"/>
          <w:color w:val="auto"/>
        </w:rPr>
      </w:pPr>
    </w:p>
    <w:p>
      <w:pPr>
        <w:ind w:right="220" w:firstLine="1492"/>
        <w:spacing w:after="0" w:line="264" w:lineRule="auto"/>
        <w:tabs>
          <w:tab w:leader="none" w:pos="169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Subject to paragraph (ii) below, a Treaty Lender and each UK Loan Party which makes a payment to which that Treaty Lender is entitled shall co-operate in completing any procedural formalities necessary for that UK Loan Party to obtain authorization to make that payment without a Tax Deduction.</w:t>
      </w:r>
    </w:p>
    <w:p>
      <w:pPr>
        <w:spacing w:after="0" w:line="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(ii)</w:t>
      </w:r>
    </w:p>
    <w:p>
      <w:pPr>
        <w:spacing w:after="0" w:line="117" w:lineRule="exact"/>
        <w:rPr>
          <w:sz w:val="20"/>
          <w:szCs w:val="20"/>
          <w:color w:val="auto"/>
        </w:rPr>
      </w:pPr>
    </w:p>
    <w:p>
      <w:pPr>
        <w:ind w:right="440" w:firstLine="1948"/>
        <w:spacing w:after="0" w:line="264" w:lineRule="auto"/>
        <w:tabs>
          <w:tab w:leader="none" w:pos="223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Treaty Lender which is a Lender on the Closing Date and that holds a passport under the HMRC DT Treaty Passport scheme, and which wishes that scheme to apply to this Agreement, shall confirm its scheme reference number and its jurisdiction of tax residence in the Assignment and Acceptance which it executes on becoming a party as a Lender; and</w:t>
      </w:r>
    </w:p>
    <w:p>
      <w:pPr>
        <w:spacing w:after="0" w:line="73" w:lineRule="exact"/>
        <w:rPr>
          <w:rFonts w:ascii="Arial" w:cs="Arial" w:eastAsia="Arial" w:hAnsi="Arial"/>
          <w:sz w:val="18"/>
          <w:szCs w:val="18"/>
          <w:color w:val="auto"/>
        </w:rPr>
      </w:pPr>
    </w:p>
    <w:p>
      <w:pPr>
        <w:ind w:right="380" w:firstLine="1948"/>
        <w:spacing w:after="0" w:line="264" w:lineRule="auto"/>
        <w:tabs>
          <w:tab w:leader="none" w:pos="222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Treaty Lender which is not a Lender on the Closing Date and that holds a passport under the HMRC DT Treaty Passport scheme, and which wishes that scheme to apply to this Agreement, shall confirm its scheme reference number and its jurisdiction of tax residence in the Assignment and Acceptance which it executes on becoming a party as a Lender,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having done so, that Lender shall be under no obligation pursuant to </w:t>
      </w:r>
      <w:r>
        <w:rPr>
          <w:rFonts w:ascii="Arial" w:cs="Arial" w:eastAsia="Arial" w:hAnsi="Arial"/>
          <w:sz w:val="18"/>
          <w:szCs w:val="18"/>
          <w:u w:val="single" w:color="auto"/>
          <w:color w:val="auto"/>
        </w:rPr>
        <w:t>Section 16.5(g)(i)</w:t>
      </w:r>
      <w:r>
        <w:rPr>
          <w:rFonts w:ascii="Arial" w:cs="Arial" w:eastAsia="Arial" w:hAnsi="Arial"/>
          <w:sz w:val="18"/>
          <w:szCs w:val="18"/>
          <w:color w:val="auto"/>
        </w:rPr>
        <w:t xml:space="preserve"> above.</w:t>
      </w:r>
    </w:p>
    <w:p>
      <w:pPr>
        <w:spacing w:after="0" w:line="117" w:lineRule="exact"/>
        <w:rPr>
          <w:sz w:val="20"/>
          <w:szCs w:val="20"/>
          <w:color w:val="auto"/>
        </w:rPr>
      </w:pPr>
    </w:p>
    <w:p>
      <w:pPr>
        <w:ind w:left="5520" w:right="60" w:hanging="4599"/>
        <w:spacing w:after="0" w:line="449" w:lineRule="auto"/>
        <w:tabs>
          <w:tab w:leader="none" w:pos="117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its jurisdiction of tax residence in accordance with </w:t>
      </w:r>
      <w:r>
        <w:rPr>
          <w:rFonts w:ascii="Arial" w:cs="Arial" w:eastAsia="Arial" w:hAnsi="Arial"/>
          <w:sz w:val="18"/>
          <w:szCs w:val="18"/>
          <w:u w:val="single" w:color="auto"/>
          <w:color w:val="auto"/>
        </w:rPr>
        <w:t>Section 16.5(g)(ii)</w:t>
      </w:r>
      <w:r>
        <w:rPr>
          <w:rFonts w:ascii="Arial" w:cs="Arial" w:eastAsia="Arial" w:hAnsi="Arial"/>
          <w:sz w:val="18"/>
          <w:szCs w:val="18"/>
          <w:color w:val="auto"/>
        </w:rPr>
        <w:t xml:space="preserve"> above and: -210-</w:t>
      </w:r>
    </w:p>
    <w:p>
      <w:pPr>
        <w:sectPr>
          <w:pgSz w:w="11900" w:h="16838" w:orient="portrait"/>
          <w:cols w:equalWidth="0" w:num="1">
            <w:col w:w="11400"/>
          </w:cols>
          <w:pgMar w:left="240" w:top="274" w:right="259" w:bottom="1440" w:gutter="0" w:footer="0" w:header="0"/>
        </w:sectPr>
      </w:pPr>
    </w:p>
    <w:bookmarkStart w:id="221" w:name="page222"/>
    <w:bookmarkEnd w:id="221"/>
    <w:p>
      <w:pPr>
        <w:ind w:left="1700" w:hanging="208"/>
        <w:spacing w:after="0"/>
        <w:tabs>
          <w:tab w:leader="none" w:pos="17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UK Borrower making a payment to that Lender has not made a Borrower DTTP Filing in respect of that Lender; or</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UK Borrower making a payment to that Lender has made a Borrower DTTP Filing in respect of that Lender but:</w:t>
      </w:r>
    </w:p>
    <w:p>
      <w:pPr>
        <w:spacing w:after="0" w:line="117" w:lineRule="exact"/>
        <w:rPr>
          <w:rFonts w:ascii="Arial" w:cs="Arial" w:eastAsia="Arial" w:hAnsi="Arial"/>
          <w:sz w:val="18"/>
          <w:szCs w:val="18"/>
          <w:color w:val="auto"/>
        </w:rPr>
      </w:pPr>
    </w:p>
    <w:p>
      <w:pPr>
        <w:ind w:left="2240" w:hanging="292"/>
        <w:spacing w:after="0"/>
        <w:tabs>
          <w:tab w:leader="none" w:pos="22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that Borrower DTTP Filing has been rejected by HM Revenue &amp; Customs; or</w:t>
      </w:r>
    </w:p>
    <w:p>
      <w:pPr>
        <w:spacing w:after="0" w:line="117" w:lineRule="exact"/>
        <w:rPr>
          <w:rFonts w:ascii="Arial" w:cs="Arial" w:eastAsia="Arial" w:hAnsi="Arial"/>
          <w:sz w:val="18"/>
          <w:szCs w:val="18"/>
          <w:color w:val="auto"/>
        </w:rPr>
      </w:pPr>
    </w:p>
    <w:p>
      <w:pPr>
        <w:ind w:right="80" w:firstLine="1948"/>
        <w:spacing w:after="0" w:line="277" w:lineRule="auto"/>
        <w:tabs>
          <w:tab w:leader="none" w:pos="2225" w:val="left"/>
        </w:tabs>
        <w:numPr>
          <w:ilvl w:val="1"/>
          <w:numId w:val="272"/>
        </w:numPr>
        <w:rPr>
          <w:rFonts w:ascii="Arial" w:cs="Arial" w:eastAsia="Arial" w:hAnsi="Arial"/>
          <w:sz w:val="18"/>
          <w:szCs w:val="18"/>
          <w:color w:val="auto"/>
        </w:rPr>
      </w:pPr>
      <w:r>
        <w:rPr>
          <w:rFonts w:ascii="Arial" w:cs="Arial" w:eastAsia="Arial" w:hAnsi="Arial"/>
          <w:sz w:val="18"/>
          <w:szCs w:val="18"/>
          <w:color w:val="auto"/>
        </w:rPr>
        <w:t>HM Revenue &amp; Customs has not given the UK Borrower authority to make payments to that Lender without a Tax Deduction within 60 days of the date of a Borrower DTTP Filing,</w:t>
      </w:r>
    </w:p>
    <w:p>
      <w:pPr>
        <w:spacing w:after="0" w:line="17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and in each case, the UK Borrower has notified that Lender in writing, that Lender and the UK Borrower shall co-operate in completing any additional procedural formalities necessary for that UK Borrower to obtain authorization to make that payment without a Tax Deduction.</w:t>
      </w:r>
    </w:p>
    <w:p>
      <w:pPr>
        <w:spacing w:after="0" w:line="38" w:lineRule="exact"/>
        <w:rPr>
          <w:sz w:val="20"/>
          <w:szCs w:val="20"/>
          <w:color w:val="auto"/>
        </w:rPr>
      </w:pPr>
    </w:p>
    <w:p>
      <w:pPr>
        <w:ind w:right="240" w:firstLine="921"/>
        <w:spacing w:after="0" w:line="277" w:lineRule="auto"/>
        <w:tabs>
          <w:tab w:leader="none" w:pos="112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jurisdiction of tax residence in accordance with </w:t>
      </w:r>
      <w:r>
        <w:rPr>
          <w:rFonts w:ascii="Arial" w:cs="Arial" w:eastAsia="Arial" w:hAnsi="Arial"/>
          <w:sz w:val="18"/>
          <w:szCs w:val="18"/>
          <w:u w:val="single" w:color="auto"/>
          <w:color w:val="auto"/>
        </w:rPr>
        <w:t>Section 16.5(g)(ii)</w:t>
      </w:r>
      <w:r>
        <w:rPr>
          <w:rFonts w:ascii="Arial" w:cs="Arial" w:eastAsia="Arial" w:hAnsi="Arial"/>
          <w:sz w:val="18"/>
          <w:szCs w:val="18"/>
          <w:color w:val="auto"/>
        </w:rPr>
        <w:t xml:space="preserve"> above, each UK Borrower shall make a Borrower DTTP Filing in respect of such Lender.</w:t>
      </w:r>
    </w:p>
    <w:p>
      <w:pPr>
        <w:spacing w:after="0" w:line="62" w:lineRule="exact"/>
        <w:rPr>
          <w:rFonts w:ascii="Arial" w:cs="Arial" w:eastAsia="Arial" w:hAnsi="Arial"/>
          <w:sz w:val="18"/>
          <w:szCs w:val="18"/>
          <w:color w:val="auto"/>
        </w:rPr>
      </w:pPr>
    </w:p>
    <w:p>
      <w:pPr>
        <w:ind w:right="120" w:firstLine="921"/>
        <w:spacing w:after="0" w:line="264" w:lineRule="auto"/>
        <w:tabs>
          <w:tab w:leader="none" w:pos="112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If a Lender has not confirmed its scheme reference number and jurisdiction of tax residence in accordance with </w:t>
      </w:r>
      <w:r>
        <w:rPr>
          <w:rFonts w:ascii="Arial" w:cs="Arial" w:eastAsia="Arial" w:hAnsi="Arial"/>
          <w:sz w:val="18"/>
          <w:szCs w:val="18"/>
          <w:u w:val="single" w:color="auto"/>
          <w:color w:val="auto"/>
        </w:rPr>
        <w:t>Section 16.6(g)(ii)</w:t>
      </w:r>
      <w:r>
        <w:rPr>
          <w:rFonts w:ascii="Arial" w:cs="Arial" w:eastAsia="Arial" w:hAnsi="Arial"/>
          <w:sz w:val="18"/>
          <w:szCs w:val="18"/>
          <w:color w:val="auto"/>
        </w:rPr>
        <w:t xml:space="preserve"> above, no UK Borrower shall make a Borrower DTTP Filing or file any other form relating to the HMRC DT Treaty Passport scheme in respect of that Lender’s Commitment(s) or its participation in any Loan unless the Lender otherwise agrees.</w:t>
      </w:r>
    </w:p>
    <w:p>
      <w:pPr>
        <w:spacing w:after="0" w:line="73"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UK Borrower shall, promptly on making a Borrower DTTP Filing, deliver a copy of that Borrower DTTP Filing to the Agent for delivery to the relevant Lender.</w:t>
      </w:r>
    </w:p>
    <w:p>
      <w:pPr>
        <w:spacing w:after="0" w:line="62" w:lineRule="exact"/>
        <w:rPr>
          <w:rFonts w:ascii="Arial" w:cs="Arial" w:eastAsia="Arial" w:hAnsi="Arial"/>
          <w:sz w:val="18"/>
          <w:szCs w:val="18"/>
          <w:color w:val="auto"/>
        </w:rPr>
      </w:pPr>
    </w:p>
    <w:p>
      <w:pPr>
        <w:ind w:right="120" w:firstLine="921"/>
        <w:spacing w:after="0" w:line="277" w:lineRule="auto"/>
        <w:tabs>
          <w:tab w:leader="none" w:pos="112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UK Non-Bank Lender shall promptly notify the UK Borrowers and the Agent if there is any change in the position from that set out in the Tax Confirmation.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b w:val="1"/>
          <w:bCs w:val="1"/>
          <w:u w:val="single" w:color="auto"/>
          <w:color w:val="auto"/>
        </w:rPr>
        <w:t>UK Tax Indemnity</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64" w:lineRule="auto"/>
        <w:tabs>
          <w:tab w:leader="none" w:pos="115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UK Loan Parties shall (within three Business Days of demand by the Agent) pay to a Protected Party an amount equal to the loss, liability or cost which that Protected Party determines will be or has been (directly or indirectly) suffered for or on account of Taxes by that Protected Party in respect of a Loan Document.</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Section 16.6(a)</w:t>
      </w:r>
      <w:r>
        <w:rPr>
          <w:rFonts w:ascii="Arial" w:cs="Arial" w:eastAsia="Arial" w:hAnsi="Arial"/>
          <w:sz w:val="18"/>
          <w:szCs w:val="18"/>
          <w:color w:val="auto"/>
        </w:rPr>
        <w:t xml:space="preserve"> above shall not apply:</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with respect to any Taxes assessed on a Lender:</w:t>
      </w:r>
    </w:p>
    <w:p>
      <w:pPr>
        <w:spacing w:after="0" w:line="117" w:lineRule="exact"/>
        <w:rPr>
          <w:rFonts w:ascii="Arial" w:cs="Arial" w:eastAsia="Arial" w:hAnsi="Arial"/>
          <w:sz w:val="18"/>
          <w:szCs w:val="18"/>
          <w:color w:val="auto"/>
        </w:rPr>
      </w:pPr>
    </w:p>
    <w:p>
      <w:pPr>
        <w:ind w:right="40" w:firstLine="1948"/>
        <w:spacing w:after="0" w:line="277" w:lineRule="auto"/>
        <w:tabs>
          <w:tab w:leader="none" w:pos="2235" w:val="left"/>
        </w:tabs>
        <w:numPr>
          <w:ilvl w:val="2"/>
          <w:numId w:val="274"/>
        </w:numPr>
        <w:rPr>
          <w:rFonts w:ascii="Arial" w:cs="Arial" w:eastAsia="Arial" w:hAnsi="Arial"/>
          <w:sz w:val="18"/>
          <w:szCs w:val="18"/>
          <w:color w:val="auto"/>
        </w:rPr>
      </w:pPr>
      <w:r>
        <w:rPr>
          <w:rFonts w:ascii="Arial" w:cs="Arial" w:eastAsia="Arial" w:hAnsi="Arial"/>
          <w:sz w:val="18"/>
          <w:szCs w:val="18"/>
          <w:color w:val="auto"/>
        </w:rPr>
        <w:t>under the law of the jurisdiction in which that Lender is incorporated (or otherwise established) or, if different, the jurisdiction (or jurisdictions) in which that Lender is treated as resident for tax purposes;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380"/>
          </w:cols>
          <w:pgMar w:left="240" w:top="274" w:right="279" w:bottom="1440" w:gutter="0" w:footer="0" w:header="0"/>
        </w:sectPr>
      </w:pPr>
    </w:p>
    <w:bookmarkStart w:id="222" w:name="page223"/>
    <w:bookmarkEnd w:id="222"/>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under the law of the jurisdiction in which that Lender’s Facility Office is located in respect of amounts received or receivable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that jurisdiction,</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such Taxes are imposed on or calculated by reference to the net income received or receivable (but not any sum deemed to be received or receivable) by that Lender; or</w:t>
      </w:r>
    </w:p>
    <w:p>
      <w:pPr>
        <w:spacing w:after="0" w:line="62" w:lineRule="exact"/>
        <w:rPr>
          <w:sz w:val="20"/>
          <w:szCs w:val="20"/>
          <w:color w:val="auto"/>
        </w:rPr>
      </w:pPr>
    </w:p>
    <w:p>
      <w:pPr>
        <w:ind w:left="1760" w:hanging="268"/>
        <w:spacing w:after="0"/>
        <w:tabs>
          <w:tab w:leader="none" w:pos="17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117" w:lineRule="exact"/>
        <w:rPr>
          <w:rFonts w:ascii="Arial" w:cs="Arial" w:eastAsia="Arial" w:hAnsi="Arial"/>
          <w:sz w:val="18"/>
          <w:szCs w:val="18"/>
          <w:color w:val="auto"/>
        </w:rPr>
      </w:pPr>
    </w:p>
    <w:p>
      <w:pPr>
        <w:ind w:left="2240" w:hanging="292"/>
        <w:spacing w:after="0"/>
        <w:tabs>
          <w:tab w:leader="none" w:pos="224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 xml:space="preserve">is compensated for by an increased payment under </w:t>
      </w:r>
      <w:r>
        <w:rPr>
          <w:rFonts w:ascii="Arial" w:cs="Arial" w:eastAsia="Arial" w:hAnsi="Arial"/>
          <w:sz w:val="18"/>
          <w:szCs w:val="18"/>
          <w:u w:val="single" w:color="auto"/>
          <w:color w:val="auto"/>
        </w:rPr>
        <w:t>Section 16.5</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right="20" w:firstLine="1948"/>
        <w:spacing w:after="0" w:line="277" w:lineRule="auto"/>
        <w:tabs>
          <w:tab w:leader="none" w:pos="2225" w:val="left"/>
        </w:tabs>
        <w:numPr>
          <w:ilvl w:val="2"/>
          <w:numId w:val="275"/>
        </w:numPr>
        <w:rPr>
          <w:rFonts w:ascii="Arial" w:cs="Arial" w:eastAsia="Arial" w:hAnsi="Arial"/>
          <w:sz w:val="18"/>
          <w:szCs w:val="18"/>
          <w:color w:val="auto"/>
        </w:rPr>
      </w:pPr>
      <w:r>
        <w:rPr>
          <w:rFonts w:ascii="Arial" w:cs="Arial" w:eastAsia="Arial" w:hAnsi="Arial"/>
          <w:sz w:val="18"/>
          <w:szCs w:val="18"/>
          <w:color w:val="auto"/>
        </w:rPr>
        <w:t xml:space="preserve">would have been compensated for by an increased payment under </w:t>
      </w:r>
      <w:r>
        <w:rPr>
          <w:rFonts w:ascii="Arial" w:cs="Arial" w:eastAsia="Arial" w:hAnsi="Arial"/>
          <w:sz w:val="18"/>
          <w:szCs w:val="18"/>
          <w:u w:val="single" w:color="auto"/>
          <w:color w:val="auto"/>
        </w:rPr>
        <w:t>Section 16.5</w:t>
      </w:r>
      <w:r>
        <w:rPr>
          <w:rFonts w:ascii="Arial" w:cs="Arial" w:eastAsia="Arial" w:hAnsi="Arial"/>
          <w:sz w:val="18"/>
          <w:szCs w:val="18"/>
          <w:color w:val="auto"/>
        </w:rPr>
        <w:t xml:space="preserve"> but was not so compensated solely because one of the exclusions in </w:t>
      </w:r>
      <w:r>
        <w:rPr>
          <w:rFonts w:ascii="Arial" w:cs="Arial" w:eastAsia="Arial" w:hAnsi="Arial"/>
          <w:sz w:val="18"/>
          <w:szCs w:val="18"/>
          <w:u w:val="single" w:color="auto"/>
          <w:color w:val="auto"/>
        </w:rPr>
        <w:t>Section 16.5(d)</w:t>
      </w:r>
      <w:r>
        <w:rPr>
          <w:rFonts w:ascii="Arial" w:cs="Arial" w:eastAsia="Arial" w:hAnsi="Arial"/>
          <w:sz w:val="18"/>
          <w:szCs w:val="18"/>
          <w:color w:val="auto"/>
        </w:rPr>
        <w:t xml:space="preserve"> applied.</w:t>
      </w:r>
    </w:p>
    <w:p>
      <w:pPr>
        <w:spacing w:after="0" w:line="62" w:lineRule="exact"/>
        <w:rPr>
          <w:rFonts w:ascii="Arial" w:cs="Arial" w:eastAsia="Arial" w:hAnsi="Arial"/>
          <w:sz w:val="18"/>
          <w:szCs w:val="18"/>
          <w:color w:val="auto"/>
        </w:rPr>
      </w:pPr>
    </w:p>
    <w:p>
      <w:pPr>
        <w:ind w:firstLine="921"/>
        <w:spacing w:after="0" w:line="264" w:lineRule="auto"/>
        <w:tabs>
          <w:tab w:leader="none" w:pos="115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A Protected Party making, or intending to make a claim under </w:t>
      </w:r>
      <w:r>
        <w:rPr>
          <w:rFonts w:ascii="Arial" w:cs="Arial" w:eastAsia="Arial" w:hAnsi="Arial"/>
          <w:sz w:val="18"/>
          <w:szCs w:val="18"/>
          <w:u w:val="single" w:color="auto"/>
          <w:color w:val="auto"/>
        </w:rPr>
        <w:t>Section 16.6(a)</w:t>
      </w:r>
      <w:r>
        <w:rPr>
          <w:rFonts w:ascii="Arial" w:cs="Arial" w:eastAsia="Arial" w:hAnsi="Arial"/>
          <w:sz w:val="18"/>
          <w:szCs w:val="18"/>
          <w:color w:val="auto"/>
        </w:rPr>
        <w:t xml:space="preserve"> shall promptly notify the Agent of the event which will give, or has given, rise to the claim, following which the Agent shall notify the UK Borrower. A Protected Party shall, on receiving a payment from a Loan Party under this </w:t>
      </w:r>
      <w:r>
        <w:rPr>
          <w:rFonts w:ascii="Arial" w:cs="Arial" w:eastAsia="Arial" w:hAnsi="Arial"/>
          <w:sz w:val="18"/>
          <w:szCs w:val="18"/>
          <w:u w:val="single" w:color="auto"/>
          <w:color w:val="auto"/>
        </w:rPr>
        <w:t>Section 16.6</w:t>
      </w:r>
      <w:r>
        <w:rPr>
          <w:rFonts w:ascii="Arial" w:cs="Arial" w:eastAsia="Arial" w:hAnsi="Arial"/>
          <w:sz w:val="18"/>
          <w:szCs w:val="18"/>
          <w:color w:val="auto"/>
        </w:rPr>
        <w:t>, notify the Agent.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b w:val="1"/>
          <w:bCs w:val="1"/>
          <w:u w:val="single" w:color="auto"/>
          <w:color w:val="auto"/>
        </w:rPr>
        <w:t>UK Tax Credit</w:t>
      </w:r>
      <w:r>
        <w:rPr>
          <w:rFonts w:ascii="Arial" w:cs="Arial" w:eastAsia="Arial" w:hAnsi="Arial"/>
          <w:sz w:val="18"/>
          <w:szCs w:val="18"/>
          <w:color w:val="auto"/>
        </w:rPr>
        <w:t>. If a UK Loan Party makes a Tax Payment and the relevant Lender determines that:</w:t>
      </w:r>
    </w:p>
    <w:p>
      <w:pPr>
        <w:spacing w:after="0" w:line="121" w:lineRule="exact"/>
        <w:rPr>
          <w:sz w:val="20"/>
          <w:szCs w:val="20"/>
          <w:color w:val="auto"/>
        </w:rPr>
      </w:pPr>
    </w:p>
    <w:p>
      <w:pPr>
        <w:ind w:right="420" w:firstLine="921"/>
        <w:spacing w:after="0" w:line="277" w:lineRule="auto"/>
        <w:tabs>
          <w:tab w:leader="none" w:pos="115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that Lender has obtained and utilized that Tax Credit,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Lender shall pay an amount to that UK Loan Party which that Lender determines will leave it (after that payment) in the same after-Tax position as it would have been in had the Tax Payment not been required to be made by the UK Loan Party.</w:t>
      </w:r>
    </w:p>
    <w:p>
      <w:pPr>
        <w:spacing w:after="0" w:line="58"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b w:val="1"/>
          <w:bCs w:val="1"/>
          <w:u w:val="single" w:color="auto"/>
          <w:color w:val="auto"/>
        </w:rPr>
        <w:t>Lender Status Confirmation</w:t>
      </w:r>
      <w:r>
        <w:rPr>
          <w:rFonts w:ascii="Arial" w:cs="Arial" w:eastAsia="Arial" w:hAnsi="Arial"/>
          <w:sz w:val="18"/>
          <w:szCs w:val="18"/>
          <w:color w:val="auto"/>
        </w:rPr>
        <w:t>. Each Lender which becomes a party to this Agreement after the Closing Date (each a “</w:t>
      </w:r>
      <w:r>
        <w:rPr>
          <w:rFonts w:ascii="Arial" w:cs="Arial" w:eastAsia="Arial" w:hAnsi="Arial"/>
          <w:sz w:val="18"/>
          <w:szCs w:val="18"/>
          <w:u w:val="single" w:color="auto"/>
          <w:color w:val="auto"/>
        </w:rPr>
        <w:t>New Lender</w:t>
      </w:r>
      <w:r>
        <w:rPr>
          <w:rFonts w:ascii="Arial" w:cs="Arial" w:eastAsia="Arial" w:hAnsi="Arial"/>
          <w:sz w:val="18"/>
          <w:szCs w:val="18"/>
          <w:color w:val="auto"/>
        </w:rPr>
        <w:t>”) shall indicate, in the Assignment and Acceptance which it executes on becoming a party, and for the benefit of Agent and without liability to any UK Loan Party, which of the following categories it falls within:</w:t>
      </w:r>
    </w:p>
    <w:p>
      <w:pPr>
        <w:spacing w:after="0" w:line="72" w:lineRule="exact"/>
        <w:rPr>
          <w:sz w:val="20"/>
          <w:szCs w:val="20"/>
          <w:color w:val="auto"/>
        </w:rPr>
      </w:pPr>
    </w:p>
    <w:p>
      <w:pPr>
        <w:ind w:left="1160" w:hanging="239"/>
        <w:spacing w:after="0"/>
        <w:tabs>
          <w:tab w:leader="none" w:pos="11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Qualifying Lender (other than a Treaty Lender); or</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If a New Lender fails to indicate its status in accordance with this </w:t>
      </w:r>
      <w:r>
        <w:rPr>
          <w:rFonts w:ascii="Arial" w:cs="Arial" w:eastAsia="Arial" w:hAnsi="Arial"/>
          <w:sz w:val="18"/>
          <w:szCs w:val="18"/>
          <w:u w:val="single" w:color="auto"/>
          <w:color w:val="auto"/>
        </w:rPr>
        <w:t>Section 16.8</w:t>
      </w:r>
      <w:r>
        <w:rPr>
          <w:rFonts w:ascii="Arial" w:cs="Arial" w:eastAsia="Arial" w:hAnsi="Arial"/>
          <w:sz w:val="18"/>
          <w:szCs w:val="18"/>
          <w:color w:val="auto"/>
        </w:rPr>
        <w:t xml:space="preserve">, then such New Lender shall be treated for the purposes of this Agreement (including by each UK Loan Party) as if it is not a Qualifying Lender until such time as it notifies the Agent which category applies and the Agent, upon receipt of such notification, inform the UK Borrowers. For the avoidance of doubt, an Assignment and Acceptance shall not be invalidated by any failure of a New Lender to comply with this </w:t>
      </w:r>
      <w:r>
        <w:rPr>
          <w:rFonts w:ascii="Arial" w:cs="Arial" w:eastAsia="Arial" w:hAnsi="Arial"/>
          <w:sz w:val="18"/>
          <w:szCs w:val="18"/>
          <w:u w:val="single" w:color="auto"/>
          <w:color w:val="auto"/>
        </w:rPr>
        <w:t>Section 16.8</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274" w:right="259" w:bottom="1440" w:gutter="0" w:footer="0" w:header="0"/>
        </w:sectPr>
      </w:pPr>
    </w:p>
    <w:bookmarkStart w:id="223" w:name="page224"/>
    <w:bookmarkEnd w:id="223"/>
    <w:p>
      <w:pPr>
        <w:ind w:firstLine="456"/>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16.9. </w:t>
      </w:r>
      <w:r>
        <w:rPr>
          <w:rFonts w:ascii="Arial" w:cs="Arial" w:eastAsia="Arial" w:hAnsi="Arial"/>
          <w:sz w:val="16"/>
          <w:szCs w:val="16"/>
          <w:b w:val="1"/>
          <w:bCs w:val="1"/>
          <w:u w:val="single" w:color="auto"/>
          <w:color w:val="auto"/>
        </w:rPr>
        <w:t>Stamp Taxes</w:t>
      </w:r>
      <w:r>
        <w:rPr>
          <w:rFonts w:ascii="Arial" w:cs="Arial" w:eastAsia="Arial" w:hAnsi="Arial"/>
          <w:sz w:val="16"/>
          <w:szCs w:val="16"/>
          <w:color w:val="auto"/>
        </w:rPr>
        <w:t>. A UK Loan Party shall pay and, within three Business Days of demand, indemnify the Agent and the Lenders against any cost, loss or liability that the Agent and/or the Lenders incur in relation to all stamp duty, registration and other similar Taxes in respect of any Loan Document.</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b w:val="1"/>
          <w:bCs w:val="1"/>
          <w:u w:val="single" w:color="auto"/>
          <w:color w:val="auto"/>
        </w:rPr>
        <w:t>Value Added Tax</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55" w:lineRule="auto"/>
        <w:tabs>
          <w:tab w:leader="none" w:pos="115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All amounts expressed to be payable under a Loan Document by any party to the Agent or the Lenders which (in whole or in part) constitute the consideration for any supply for VAT purposes are deemed to be exclusive of any VAT which is chargeable on that supply, and accordingly, subject to subsection (b) below, if VAT is or becomes chargeable on any supply made by the Agent or the Lenders to any party under a Loan Document and the Agent or the relevant Lender is required to account to the relevant tax authority for the VAT, that party shall pay to the Agent or the relevant Lender (in addition to and at the same time as paying any other consideration for such supply) an amount equal to the amount of the VAT (and the Agent or the relevant Lender shall promptly provide an appropriate VAT invoice to such party).</w:t>
      </w:r>
    </w:p>
    <w:p>
      <w:pPr>
        <w:spacing w:after="0" w:line="85" w:lineRule="exact"/>
        <w:rPr>
          <w:rFonts w:ascii="Arial" w:cs="Arial" w:eastAsia="Arial" w:hAnsi="Arial"/>
          <w:sz w:val="18"/>
          <w:szCs w:val="18"/>
          <w:color w:val="auto"/>
        </w:rPr>
      </w:pPr>
    </w:p>
    <w:p>
      <w:pPr>
        <w:ind w:left="1180" w:hanging="259"/>
        <w:spacing w:after="0"/>
        <w:tabs>
          <w:tab w:leader="none" w:pos="11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If VAT is or becomes chargeable on any supply made by the Agent or a Lender (the “</w:t>
      </w:r>
      <w:r>
        <w:rPr>
          <w:rFonts w:ascii="Arial" w:cs="Arial" w:eastAsia="Arial" w:hAnsi="Arial"/>
          <w:sz w:val="17"/>
          <w:szCs w:val="17"/>
          <w:u w:val="single" w:color="auto"/>
          <w:color w:val="auto"/>
        </w:rPr>
        <w:t>Supplier</w:t>
      </w:r>
      <w:r>
        <w:rPr>
          <w:rFonts w:ascii="Arial" w:cs="Arial" w:eastAsia="Arial" w:hAnsi="Arial"/>
          <w:sz w:val="17"/>
          <w:szCs w:val="17"/>
          <w:color w:val="auto"/>
        </w:rPr>
        <w:t>”) to the Agent or any other Lender (the</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under a Loan Document, and any party to this Agreement other than the Recipient (the “</w:t>
      </w:r>
      <w:r>
        <w:rPr>
          <w:rFonts w:ascii="Arial" w:cs="Arial" w:eastAsia="Arial" w:hAnsi="Arial"/>
          <w:sz w:val="18"/>
          <w:szCs w:val="18"/>
          <w:u w:val="single" w:color="auto"/>
          <w:color w:val="auto"/>
        </w:rPr>
        <w:t>Relevant Party</w:t>
      </w:r>
      <w:r>
        <w:rPr>
          <w:rFonts w:ascii="Arial" w:cs="Arial" w:eastAsia="Arial" w:hAnsi="Arial"/>
          <w:sz w:val="18"/>
          <w:szCs w:val="18"/>
          <w:color w:val="auto"/>
        </w:rPr>
        <w:t>”) is required by the terms of any Loan Document to pay an amount equal to the consideration for such supply to the Supplier (rather than being required to reimburse the Recipient in respect of that consideration):</w:t>
      </w:r>
    </w:p>
    <w:p>
      <w:pPr>
        <w:spacing w:after="0" w:line="82" w:lineRule="exact"/>
        <w:rPr>
          <w:sz w:val="20"/>
          <w:szCs w:val="20"/>
          <w:color w:val="auto"/>
        </w:rPr>
      </w:pPr>
    </w:p>
    <w:p>
      <w:pPr>
        <w:jc w:val="both"/>
        <w:ind w:right="40" w:firstLine="1492"/>
        <w:spacing w:after="0" w:line="259" w:lineRule="auto"/>
        <w:tabs>
          <w:tab w:leader="none" w:pos="169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78" w:lineRule="exact"/>
        <w:rPr>
          <w:rFonts w:ascii="Arial" w:cs="Arial" w:eastAsia="Arial" w:hAnsi="Arial"/>
          <w:sz w:val="18"/>
          <w:szCs w:val="18"/>
          <w:color w:val="auto"/>
        </w:rPr>
      </w:pPr>
    </w:p>
    <w:p>
      <w:pPr>
        <w:jc w:val="both"/>
        <w:ind w:right="280" w:firstLine="1492"/>
        <w:spacing w:after="0" w:line="286" w:lineRule="auto"/>
        <w:tabs>
          <w:tab w:leader="none" w:pos="1748" w:val="left"/>
        </w:tabs>
        <w:numPr>
          <w:ilvl w:val="1"/>
          <w:numId w:val="280"/>
        </w:numPr>
        <w:rPr>
          <w:rFonts w:ascii="Arial" w:cs="Arial" w:eastAsia="Arial" w:hAnsi="Arial"/>
          <w:sz w:val="17"/>
          <w:szCs w:val="17"/>
          <w:color w:val="auto"/>
        </w:rPr>
      </w:pPr>
      <w:r>
        <w:rPr>
          <w:rFonts w:ascii="Arial" w:cs="Arial" w:eastAsia="Arial" w:hAnsi="Arial"/>
          <w:sz w:val="17"/>
          <w:szCs w:val="17"/>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57" w:lineRule="exact"/>
        <w:rPr>
          <w:rFonts w:ascii="Arial" w:cs="Arial" w:eastAsia="Arial" w:hAnsi="Arial"/>
          <w:sz w:val="17"/>
          <w:szCs w:val="17"/>
          <w:color w:val="auto"/>
        </w:rPr>
      </w:pPr>
    </w:p>
    <w:p>
      <w:pPr>
        <w:jc w:val="both"/>
        <w:ind w:right="140" w:firstLine="921"/>
        <w:spacing w:after="0" w:line="259" w:lineRule="auto"/>
        <w:tabs>
          <w:tab w:leader="none" w:pos="115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Where a Loan Document requires any party to this Agreement to reimburse or indemnify the Agent or a Lender for any cost or expense, that party shall reimburse or indemnify (as the case may be) the Agent or such Lender for the full amount of such cost or expense, including such part thereof as represents VAT, save to the extent that the Agent or such Lender reasonably determines that it is entitled to credit or repayment in respect of such VAT from the relevant tax authority.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270" w:right="239" w:bottom="1440" w:gutter="0" w:footer="0" w:header="0"/>
        </w:sectPr>
      </w:pPr>
    </w:p>
    <w:bookmarkStart w:id="224" w:name="page225"/>
    <w:bookmarkEnd w:id="224"/>
    <w:p>
      <w:pPr>
        <w:ind w:right="20" w:firstLine="921"/>
        <w:spacing w:after="0" w:line="264" w:lineRule="auto"/>
        <w:tabs>
          <w:tab w:leader="none" w:pos="1168" w:val="left"/>
        </w:tabs>
        <w:numPr>
          <w:ilvl w:val="1"/>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reference in this </w:t>
      </w:r>
      <w:r>
        <w:rPr>
          <w:rFonts w:ascii="Arial" w:cs="Arial" w:eastAsia="Arial" w:hAnsi="Arial"/>
          <w:sz w:val="18"/>
          <w:szCs w:val="18"/>
          <w:u w:val="single" w:color="auto"/>
          <w:color w:val="auto"/>
        </w:rPr>
        <w:t>Section 16.10</w:t>
      </w:r>
      <w:r>
        <w:rPr>
          <w:rFonts w:ascii="Arial" w:cs="Arial" w:eastAsia="Arial" w:hAnsi="Arial"/>
          <w:sz w:val="18"/>
          <w:szCs w:val="18"/>
          <w:color w:val="auto"/>
        </w:rPr>
        <w:t xml:space="preserve"> to any party to this Agreement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United Kingdom Value Added Tax Act 1994).</w:t>
      </w:r>
    </w:p>
    <w:p>
      <w:pPr>
        <w:spacing w:after="0" w:line="73" w:lineRule="exact"/>
        <w:rPr>
          <w:rFonts w:ascii="Arial" w:cs="Arial" w:eastAsia="Arial" w:hAnsi="Arial"/>
          <w:sz w:val="18"/>
          <w:szCs w:val="18"/>
          <w:color w:val="auto"/>
        </w:rPr>
      </w:pPr>
    </w:p>
    <w:p>
      <w:pPr>
        <w:jc w:val="both"/>
        <w:ind w:right="200" w:firstLine="921"/>
        <w:spacing w:after="0" w:line="264" w:lineRule="auto"/>
        <w:tabs>
          <w:tab w:leader="none" w:pos="115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 relation to any supply made by the Agent or a Lender to any party under a Loan Document, if reasonably requested by the Agent or such Lender, that party must promptly provide the Agent or such Lender with details of that party’s VAT registration and such other information as is reasonably requested in connection with the Agent or such Lender’s VAT reporting requirements in relation to such supply.</w:t>
      </w:r>
    </w:p>
    <w:p>
      <w:pPr>
        <w:spacing w:after="0" w:line="325" w:lineRule="exact"/>
        <w:rPr>
          <w:rFonts w:ascii="Arial" w:cs="Arial" w:eastAsia="Arial" w:hAnsi="Arial"/>
          <w:sz w:val="18"/>
          <w:szCs w:val="18"/>
          <w:color w:val="auto"/>
        </w:rPr>
      </w:pPr>
    </w:p>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11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u w:val="single" w:color="auto"/>
          <w:color w:val="auto"/>
        </w:rPr>
        <w:t>Effectiveness</w:t>
      </w:r>
      <w:r>
        <w:rPr>
          <w:rFonts w:ascii="Arial" w:cs="Arial" w:eastAsia="Arial" w:hAnsi="Arial"/>
          <w:sz w:val="18"/>
          <w:szCs w:val="18"/>
          <w:color w:val="auto"/>
        </w:rPr>
        <w:t>. This Agreement shall be binding and deemed effective when executed by Parent, each Borrower, Agent, and each Lender whose signature is provided for on the signature pages hereof.</w:t>
      </w:r>
    </w:p>
    <w:p>
      <w:pPr>
        <w:spacing w:after="0" w:line="54"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Headings and numbers have been set forth herein for convenience only. Unless the contrary is compelled by the context, everything contained in each Section applies equally to this entire Agreement.</w:t>
      </w:r>
    </w:p>
    <w:p>
      <w:pPr>
        <w:spacing w:after="0" w:line="54"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Neither this Agreement nor any uncertainty or ambiguity herein shall be construed against the Lender Group or Parent 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34"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u w:val="single" w:color="auto"/>
          <w:color w:val="auto"/>
        </w:rPr>
        <w:t>Severability of Provisions</w:t>
      </w:r>
      <w:r>
        <w:rPr>
          <w:rFonts w:ascii="Arial" w:cs="Arial" w:eastAsia="Arial" w:hAnsi="Arial"/>
          <w:sz w:val="18"/>
          <w:szCs w:val="18"/>
          <w:color w:val="auto"/>
        </w:rPr>
        <w:t>. Each provision of this Agreement shall be severable from every other provision of this Agreement for the purpose of determining the legal enforceability of any specific provision.</w:t>
      </w:r>
    </w:p>
    <w:p>
      <w:pPr>
        <w:spacing w:after="0" w:line="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b w:val="1"/>
          <w:bCs w:val="1"/>
          <w:u w:val="single" w:color="auto"/>
          <w:color w:val="auto"/>
        </w:rPr>
        <w:t>Bank Product Providers</w:t>
      </w:r>
      <w:r>
        <w:rPr>
          <w:rFonts w:ascii="Arial" w:cs="Arial" w:eastAsia="Arial" w:hAnsi="Arial"/>
          <w:sz w:val="17"/>
          <w:szCs w:val="17"/>
          <w:color w:val="auto"/>
        </w:rPr>
        <w:t>. Each Bank Product Provider in its capacity as such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274" w:right="259" w:bottom="1440" w:gutter="0" w:footer="0" w:header="0"/>
        </w:sectPr>
      </w:pPr>
    </w:p>
    <w:bookmarkStart w:id="225" w:name="page226"/>
    <w:bookmarkEnd w:id="225"/>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any distributions made to such Bank Product Provider on account thereof). Borrowers may obtain Bank Products from any Bank Product Provider, although Borrowers are not required to do so.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73"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u w:val="single" w:color="auto"/>
          <w:color w:val="auto"/>
        </w:rPr>
        <w:t>Debtor-Creditor Relationship</w:t>
      </w:r>
      <w:r>
        <w:rPr>
          <w:rFonts w:ascii="Arial" w:cs="Arial" w:eastAsia="Arial" w:hAnsi="Arial"/>
          <w:sz w:val="18"/>
          <w:szCs w:val="18"/>
          <w:color w:val="auto"/>
        </w:rPr>
        <w:t>. 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7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color w:val="auto"/>
        </w:rPr>
        <w:t>.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 Any party delivering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mutatis mutandis.</w:t>
      </w:r>
    </w:p>
    <w:p>
      <w:pPr>
        <w:spacing w:after="0" w:line="8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u w:val="single" w:color="auto"/>
          <w:color w:val="auto"/>
        </w:rPr>
        <w:t>Revival and Reinstatement of Obligations; Certain Waivers</w:t>
      </w:r>
      <w:r>
        <w:rPr>
          <w:rFonts w:ascii="Arial" w:cs="Arial" w:eastAsia="Arial" w:hAnsi="Arial"/>
          <w:sz w:val="18"/>
          <w:szCs w:val="18"/>
          <w:color w:val="auto"/>
        </w:rPr>
        <w:t>. 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380"/>
          </w:cols>
          <w:pgMar w:left="240" w:top="274" w:right="279" w:bottom="1440" w:gutter="0" w:footer="0" w:header="0"/>
        </w:sectPr>
      </w:pPr>
    </w:p>
    <w:bookmarkStart w:id="226" w:name="page227"/>
    <w:bookmarkEnd w:id="2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Arial" w:cs="Arial" w:eastAsia="Arial" w:hAnsi="Arial"/>
          <w:sz w:val="16"/>
          <w:szCs w:val="16"/>
          <w:u w:val="single" w:color="auto"/>
          <w:color w:val="auto"/>
        </w:rPr>
        <w:t>Voidable Transfer</w:t>
      </w:r>
      <w:r>
        <w:rPr>
          <w:rFonts w:ascii="Arial" w:cs="Arial" w:eastAsia="Arial" w:hAnsi="Arial"/>
          <w:sz w:val="16"/>
          <w:szCs w:val="16"/>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 This provision shall survive the termination of this Agreement and the repayment in full of the Obligations.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121" w:lineRule="exact"/>
        <w:rPr>
          <w:sz w:val="20"/>
          <w:szCs w:val="20"/>
          <w:color w:val="auto"/>
        </w:rPr>
      </w:pPr>
    </w:p>
    <w:p>
      <w:pPr>
        <w:ind w:right="20" w:firstLine="921"/>
        <w:spacing w:after="0" w:line="286" w:lineRule="auto"/>
        <w:tabs>
          <w:tab w:leader="none" w:pos="115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Agent and Lenders each individually (and not jointly or jointly and severally) agree that material, non-public information regarding the Loan Parties and their Subsidiaries, their operations, assets, and existing and contemplated business plans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Arial" w:cs="Arial" w:eastAsia="Arial" w:hAnsi="Arial"/>
          <w:sz w:val="16"/>
          <w:szCs w:val="16"/>
          <w:u w:val="single" w:color="auto"/>
          <w:color w:val="auto"/>
        </w:rPr>
        <w:t>Lender Group Representatives</w:t>
      </w:r>
      <w:r>
        <w:rPr>
          <w:rFonts w:ascii="Arial" w:cs="Arial" w:eastAsia="Arial" w:hAnsi="Arial"/>
          <w:sz w:val="16"/>
          <w:szCs w:val="16"/>
          <w:color w:val="auto"/>
        </w:rPr>
        <w:t xml:space="preserve">”) on a “need to know” basis in connection with this Agreement and the transactions contemplated hereby and on a confidential basis, (ii) to Subsidiaries and Affiliates of any member of the Lender Group (including the Bank Product Providers);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Subsidiary or Affiliate shall have agreed to receive such information hereunder subject to the terms of this </w:t>
      </w:r>
      <w:r>
        <w:rPr>
          <w:rFonts w:ascii="Arial" w:cs="Arial" w:eastAsia="Arial" w:hAnsi="Arial"/>
          <w:sz w:val="16"/>
          <w:szCs w:val="16"/>
          <w:u w:val="single" w:color="auto"/>
          <w:color w:val="auto"/>
        </w:rPr>
        <w:t>Section 17.9</w:t>
      </w:r>
      <w:r>
        <w:rPr>
          <w:rFonts w:ascii="Arial" w:cs="Arial" w:eastAsia="Arial" w:hAnsi="Arial"/>
          <w:sz w:val="16"/>
          <w:szCs w:val="16"/>
          <w:color w:val="auto"/>
        </w:rPr>
        <w:t xml:space="preserve">, (iii) as may be required by regulatory authorities so long as such authorities are informed of the confidential nature of such information, (iv) as may be required by statute, decision, or judicial or administrative order, rule, or regulation; </w:t>
      </w:r>
      <w:r>
        <w:rPr>
          <w:rFonts w:ascii="Arial" w:cs="Arial" w:eastAsia="Arial" w:hAnsi="Arial"/>
          <w:sz w:val="16"/>
          <w:szCs w:val="16"/>
          <w:u w:val="single" w:color="auto"/>
          <w:color w:val="auto"/>
        </w:rPr>
        <w:t>provided</w:t>
      </w:r>
      <w:r>
        <w:rPr>
          <w:rFonts w:ascii="Arial" w:cs="Arial" w:eastAsia="Arial" w:hAnsi="Arial"/>
          <w:sz w:val="16"/>
          <w:szCs w:val="16"/>
          <w:color w:val="auto"/>
        </w:rPr>
        <w:t>,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274" w:right="25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advance in writing by Borrowers, (vi) as requested or required by any Governmental Authority pursuant to any subpoena or other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46" w:lineRule="exact"/>
        <w:rPr>
          <w:sz w:val="20"/>
          <w:szCs w:val="20"/>
          <w:color w:val="auto"/>
        </w:rPr>
      </w:pPr>
    </w:p>
    <w:p>
      <w:pPr>
        <w:ind w:right="40" w:firstLine="8"/>
        <w:spacing w:after="0" w:line="267" w:lineRule="auto"/>
        <w:tabs>
          <w:tab w:leader="none" w:pos="25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receipt of Confidential Information any such assignee, participant, or pledgee shall have agreed in writing to receive such Confidential Information either subject to the terms of this </w:t>
      </w:r>
      <w:r>
        <w:rPr>
          <w:rFonts w:ascii="Arial" w:cs="Arial" w:eastAsia="Arial" w:hAnsi="Arial"/>
          <w:sz w:val="17"/>
          <w:szCs w:val="17"/>
          <w:u w:val="single" w:color="auto"/>
          <w:color w:val="auto"/>
        </w:rPr>
        <w:t>Section 17.9</w:t>
      </w:r>
      <w:r>
        <w:rPr>
          <w:rFonts w:ascii="Arial" w:cs="Arial" w:eastAsia="Arial" w:hAnsi="Arial"/>
          <w:sz w:val="17"/>
          <w:szCs w:val="17"/>
          <w:color w:val="auto"/>
        </w:rPr>
        <w:t xml:space="preserve"> or pursuant to confidentiality requirements substantially similar to those contained in this </w:t>
      </w:r>
      <w:r>
        <w:rPr>
          <w:rFonts w:ascii="Arial" w:cs="Arial" w:eastAsia="Arial" w:hAnsi="Arial"/>
          <w:sz w:val="17"/>
          <w:szCs w:val="17"/>
          <w:u w:val="single" w:color="auto"/>
          <w:color w:val="auto"/>
        </w:rPr>
        <w:t>Section 17.9</w:t>
      </w:r>
      <w:r>
        <w:rPr>
          <w:rFonts w:ascii="Arial" w:cs="Arial" w:eastAsia="Arial" w:hAnsi="Arial"/>
          <w:sz w:val="17"/>
          <w:szCs w:val="17"/>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that prior to any disclosure to any Person (other than any Loan Party, Agent, any Lender, any of their respective Affiliates, or their respective counsel) under this clause (ix) with respect to litigation involving any Person (other than any Borrower, Agent, any Lender, any of their respective Affiliates, or their respective counsel), the disclosing party agrees to provide Borrowers with prior written notice thereof, and (x) in connection with, and to the extent reasonably necessary for, the exercise of any secured creditor remedy under this Agreement or under any other Loan Document.</w:t>
      </w:r>
    </w:p>
    <w:p>
      <w:pPr>
        <w:spacing w:after="0" w:line="73" w:lineRule="exact"/>
        <w:rPr>
          <w:rFonts w:ascii="Arial" w:cs="Arial" w:eastAsia="Arial" w:hAnsi="Arial"/>
          <w:sz w:val="17"/>
          <w:szCs w:val="17"/>
          <w:color w:val="auto"/>
        </w:rPr>
      </w:pPr>
    </w:p>
    <w:p>
      <w:pPr>
        <w:ind w:right="160" w:firstLine="921"/>
        <w:spacing w:after="0" w:line="276" w:lineRule="auto"/>
        <w:tabs>
          <w:tab w:leader="none" w:pos="1168" w:val="left"/>
        </w:tabs>
        <w:numPr>
          <w:ilvl w:val="1"/>
          <w:numId w:val="285"/>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Agent may disclose information concerning the terms and conditions of this Agreement and the other Loan Documents to loan syndication and pricing reporting services or in its marketing or promotional materials, with such information to consist of deal terms and other information customarily found in such publications or marketing or promotional materials and may otherwise use the name, logos, and other insignia of any Borrower or the other Loan Parties and the Commitments provided hereunder in any “tombstone” or other advertisements, on its website or in other marketing materials of the Agent.</w:t>
      </w:r>
    </w:p>
    <w:p>
      <w:pPr>
        <w:spacing w:after="0" w:line="64" w:lineRule="exact"/>
        <w:rPr>
          <w:rFonts w:ascii="Arial" w:cs="Arial" w:eastAsia="Arial" w:hAnsi="Arial"/>
          <w:sz w:val="17"/>
          <w:szCs w:val="17"/>
          <w:color w:val="auto"/>
        </w:rPr>
      </w:pPr>
    </w:p>
    <w:p>
      <w:pPr>
        <w:ind w:right="120" w:firstLine="921"/>
        <w:spacing w:after="0" w:line="254" w:lineRule="auto"/>
        <w:tabs>
          <w:tab w:leader="none" w:pos="115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Each Loan Party hereby acknowledge that Agent or its Affiliates may make available to the Lenders materials or information provided by or on behalf of Borrowers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or a substantially similar secure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The Platform is provided “as is” and “as available.” Agent does not warrant the accuracy or completeness of the Borrower Materials,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Agent in connection with the Borrower Materials or the Platform. In no event shall Agent or any of the Agent-Related Persons have any liability to the Loan Parties, any Lender or any other person for damages of any kind, including direct or indirect, special,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00"/>
          </w:cols>
          <w:pgMar w:left="240" w:top="274" w:right="259" w:bottom="1440" w:gutter="0" w:footer="0" w:header="0"/>
        </w:sectPr>
      </w:pPr>
    </w:p>
    <w:bookmarkStart w:id="228" w:name="page229"/>
    <w:bookmarkEnd w:id="228"/>
    <w:p>
      <w:pPr>
        <w:ind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incidental or consequential damages, losses or expenses (whether in tort, contract or otherwise) arising out of any Loan Party’s or Agent’s transmission of communications through the Internet, except to the extent the liability of such person is found in a final non-appealable judgment by a court of competent jurisdiction to have resulted from such person’s gross negligence or willful misconduct. Each Loan Party further agrees that certain of the Lenders may be “public-side” Lenders (i.e., Lenders that do not wish to receive material non-public information with respect to the Loan Parties or their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b w:val="1"/>
          <w:bCs w:val="1"/>
          <w:u w:val="single" w:color="auto"/>
          <w:color w:val="auto"/>
        </w:rPr>
        <w:t>Survival</w:t>
      </w:r>
    </w:p>
    <w:p>
      <w:pPr>
        <w:spacing w:after="0" w:line="121" w:lineRule="exact"/>
        <w:rPr>
          <w:sz w:val="20"/>
          <w:szCs w:val="20"/>
          <w:color w:val="auto"/>
        </w:rPr>
      </w:pPr>
    </w:p>
    <w:p>
      <w:pPr>
        <w:ind w:firstLine="464"/>
        <w:spacing w:after="0" w:line="272" w:lineRule="auto"/>
        <w:tabs>
          <w:tab w:leader="none" w:pos="53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NY Issuing Lender,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b w:val="1"/>
          <w:bCs w:val="1"/>
          <w:u w:val="single" w:color="auto"/>
          <w:color w:val="auto"/>
        </w:rPr>
        <w:t>Patriot Act; Due Diligence</w:t>
      </w:r>
      <w:r>
        <w:rPr>
          <w:rFonts w:ascii="Arial" w:cs="Arial" w:eastAsia="Arial" w:hAnsi="Arial"/>
          <w:sz w:val="18"/>
          <w:szCs w:val="18"/>
          <w:color w:val="auto"/>
        </w:rPr>
        <w:t>.</w:t>
      </w:r>
    </w:p>
    <w:p>
      <w:pPr>
        <w:spacing w:after="0" w:line="121" w:lineRule="exact"/>
        <w:rPr>
          <w:sz w:val="20"/>
          <w:szCs w:val="20"/>
          <w:color w:val="auto"/>
        </w:rPr>
      </w:pPr>
    </w:p>
    <w:p>
      <w:pPr>
        <w:ind w:right="120" w:firstLine="921"/>
        <w:spacing w:after="0" w:line="273" w:lineRule="auto"/>
        <w:tabs>
          <w:tab w:leader="none" w:pos="115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Agent and each Lender shall have the right to periodically conduct due diligence on all Loan Parties, their senior management and key principals and legal and beneficial owners. Each Loan Party agrees to cooperate in respect of the conduct of such due diligence and further agrees that the reasonable costs and charges for any such due diligence by Agent shall constitute Lender Group Expenses hereunder and be for the account of Borrowers.</w:t>
      </w:r>
    </w:p>
    <w:p>
      <w:pPr>
        <w:spacing w:after="0" w:line="70" w:lineRule="exact"/>
        <w:rPr>
          <w:rFonts w:ascii="Arial" w:cs="Arial" w:eastAsia="Arial" w:hAnsi="Arial"/>
          <w:sz w:val="17"/>
          <w:szCs w:val="17"/>
          <w:color w:val="auto"/>
        </w:rPr>
      </w:pPr>
    </w:p>
    <w:p>
      <w:pPr>
        <w:ind w:firstLine="921"/>
        <w:spacing w:after="0" w:line="264" w:lineRule="auto"/>
        <w:tabs>
          <w:tab w:leader="none" w:pos="116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Loan Party acknowledges that, pursuant to the provisions of Canadian Anti-Money Laundering &amp; Anti-Terrorism Legislation, Agent and Lenders may be required to obtain, verify and record information regarding each Loan Party, its respective directors, authorized signing officers, direct or indirect shareholders or other Persons in control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60"/>
          </w:cols>
          <w:pgMar w:left="240" w:top="274" w:right="299" w:bottom="1440" w:gutter="0" w:footer="0" w:header="0"/>
        </w:sectPr>
      </w:pPr>
    </w:p>
    <w:bookmarkStart w:id="229" w:name="page230"/>
    <w:bookmarkEnd w:id="229"/>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Loan Party, and the transactions contemplated hereby. The Loan Parties shall promptly provide all such information, including supporting documentation and other evidence, as may be reasonably requested by any Lender or Agent, or any prospective assign or participant of a Lender or Agent, necessary in order to comply with any applicable Canadian Anti-Money Laundering &amp; Anti-Terrorism Legislation, whether now or hereafter in existence. If Agent has ascertained the identity of any Loan Party or any authorized signatories of any Loan Party for the purposes of applicable Canadian Anti-Money Laundering &amp; Anti-Terrorism Legislation, then Agent:</w:t>
      </w:r>
    </w:p>
    <w:p>
      <w:pPr>
        <w:spacing w:after="0" w:line="80" w:lineRule="exact"/>
        <w:rPr>
          <w:sz w:val="20"/>
          <w:szCs w:val="20"/>
          <w:color w:val="auto"/>
        </w:rPr>
      </w:pPr>
    </w:p>
    <w:p>
      <w:pPr>
        <w:ind w:right="40" w:firstLine="1492"/>
        <w:spacing w:after="0" w:line="308" w:lineRule="auto"/>
        <w:tabs>
          <w:tab w:leader="none" w:pos="1698" w:val="left"/>
        </w:tabs>
        <w:numPr>
          <w:ilvl w:val="1"/>
          <w:numId w:val="288"/>
        </w:numPr>
        <w:rPr>
          <w:rFonts w:ascii="Arial" w:cs="Arial" w:eastAsia="Arial" w:hAnsi="Arial"/>
          <w:sz w:val="17"/>
          <w:szCs w:val="17"/>
          <w:color w:val="auto"/>
        </w:rPr>
      </w:pPr>
      <w:r>
        <w:rPr>
          <w:rFonts w:ascii="Arial" w:cs="Arial" w:eastAsia="Arial" w:hAnsi="Arial"/>
          <w:sz w:val="17"/>
          <w:szCs w:val="17"/>
          <w:color w:val="auto"/>
        </w:rPr>
        <w:t>shall be deemed to have done so as an agent for each Lender, and this Agreement shall constitute a “written agreement” in such regard between each Lender and Agent within the meaning of applicable Canadian Anti-Money Laundering &amp; Anti-Terrorism Legislation;</w:t>
      </w:r>
    </w:p>
    <w:p>
      <w:pPr>
        <w:spacing w:after="0" w:line="38" w:lineRule="exact"/>
        <w:rPr>
          <w:rFonts w:ascii="Arial" w:cs="Arial" w:eastAsia="Arial" w:hAnsi="Arial"/>
          <w:sz w:val="17"/>
          <w:szCs w:val="17"/>
          <w:color w:val="auto"/>
        </w:rPr>
      </w:pPr>
    </w:p>
    <w:p>
      <w:pPr>
        <w:ind w:right="620" w:firstLine="1492"/>
        <w:spacing w:after="0" w:line="277" w:lineRule="auto"/>
        <w:tabs>
          <w:tab w:leader="none" w:pos="174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shall provide to each Lender copies of all information obtained in such regard without any representation or warranty as to its accuracy or completeness.</w:t>
      </w:r>
    </w:p>
    <w:p>
      <w:pPr>
        <w:spacing w:after="0" w:line="62" w:lineRule="exact"/>
        <w:rPr>
          <w:rFonts w:ascii="Arial" w:cs="Arial" w:eastAsia="Arial" w:hAnsi="Arial"/>
          <w:sz w:val="18"/>
          <w:szCs w:val="18"/>
          <w:color w:val="auto"/>
        </w:rPr>
      </w:pPr>
    </w:p>
    <w:p>
      <w:pPr>
        <w:ind w:firstLine="921"/>
        <w:spacing w:after="0" w:line="269" w:lineRule="auto"/>
        <w:tabs>
          <w:tab w:leader="none" w:pos="115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 If (A) the introduction of or any change in (or in the interpretation, administration or application of) any law or regulation made after the Closing Date, (B) any change in the status of a UK Loan Party after the Closing Date, or (C) a proposed assignment or transfer by a Lender of any of its rights and obligations under this Agreement to a party that is not a Lender prior to such assignment or transfer, obliges the Agent or any Lender (or, in the case of clause (C) above, any prospective new Lender) to comply with “know your customer” or similar identification procedures in circumstances where the necessary information is not already available to it, each UK Loan Party shall promptly upon the request of the Agent or any Lender supply, or procure the supply of, such documentation and other evidence as is reasonably requested by the Agent (for itself or on behalf of any Lender) or any Lender (for itself or, in the case of the event described in clause (C) above, on behalf of any prospective new Lender) in order for the Agent, such Lender or, in the case of the event described in clause (C) above, any prospective new Lender to carry out and be satisfied it has complied with all necessary “know your customer” or other similar checks under all applicable laws and regulations pursuant to the transactions contemplated in the Loan Documents; and (ii) Each Lender shall promptly upon the request of the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Loan Documents.</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the provisions of this Section and except as may otherwise be agreed in writing, each Lender agrees that Agent has no obligation to ascertain the identity of the Loan Parties or any authorized signatories of the Loan Parties on behalf of any Lender, or to confirm the completeness or accuracy of any information it obtains from the Loan Parties or any such authorized signatory in doing so.</w:t>
      </w:r>
    </w:p>
    <w:p>
      <w:pPr>
        <w:spacing w:after="0" w:line="69" w:lineRule="exact"/>
        <w:rPr>
          <w:sz w:val="20"/>
          <w:szCs w:val="20"/>
          <w:color w:val="auto"/>
        </w:rPr>
      </w:pPr>
    </w:p>
    <w:p>
      <w:pPr>
        <w:ind w:right="580" w:firstLine="456"/>
        <w:spacing w:after="0" w:line="313" w:lineRule="auto"/>
        <w:rPr>
          <w:sz w:val="20"/>
          <w:szCs w:val="20"/>
          <w:color w:val="auto"/>
        </w:rPr>
      </w:pPr>
      <w:r>
        <w:rPr>
          <w:rFonts w:ascii="Arial" w:cs="Arial" w:eastAsia="Arial" w:hAnsi="Arial"/>
          <w:sz w:val="17"/>
          <w:szCs w:val="17"/>
          <w:color w:val="auto"/>
        </w:rPr>
        <w:t xml:space="preserve">17.12. </w:t>
      </w:r>
      <w:r>
        <w:rPr>
          <w:rFonts w:ascii="Arial" w:cs="Arial" w:eastAsia="Arial" w:hAnsi="Arial"/>
          <w:sz w:val="17"/>
          <w:szCs w:val="17"/>
          <w:b w:val="1"/>
          <w:bCs w:val="1"/>
          <w:u w:val="single" w:color="auto"/>
          <w:color w:val="auto"/>
        </w:rPr>
        <w:t>Integration</w:t>
      </w:r>
      <w:r>
        <w:rPr>
          <w:rFonts w:ascii="Arial" w:cs="Arial" w:eastAsia="Arial" w:hAnsi="Arial"/>
          <w:sz w:val="17"/>
          <w:szCs w:val="17"/>
          <w:color w:val="auto"/>
        </w:rPr>
        <w:t>. This Agreement, together with the other Loan Documents, reflects the entire understanding of the parties with respect to the transactions contemplated hereby and shall not be contradicted or qualified by any other agreement, oral or written, before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274" w:right="239" w:bottom="1440" w:gutter="0" w:footer="0" w:header="0"/>
        </w:sectPr>
      </w:pPr>
    </w:p>
    <w:bookmarkStart w:id="230" w:name="page231"/>
    <w:bookmarkEnd w:id="230"/>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3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b w:val="1"/>
          <w:bCs w:val="1"/>
          <w:u w:val="single" w:color="auto"/>
          <w:color w:val="auto"/>
        </w:rPr>
        <w:t>DNOW as Agent for Borrowers</w:t>
      </w:r>
      <w:r>
        <w:rPr>
          <w:rFonts w:ascii="Arial" w:cs="Arial" w:eastAsia="Arial" w:hAnsi="Arial"/>
          <w:sz w:val="16"/>
          <w:szCs w:val="16"/>
          <w:color w:val="auto"/>
        </w:rPr>
        <w:t>. Each Borrower hereby irrevocably appoints DNOW as the borrowing agent and attorney-in-fact for all Borrowers (the “</w:t>
      </w:r>
      <w:r>
        <w:rPr>
          <w:rFonts w:ascii="Arial" w:cs="Arial" w:eastAsia="Arial" w:hAnsi="Arial"/>
          <w:sz w:val="16"/>
          <w:szCs w:val="16"/>
          <w:u w:val="single" w:color="auto"/>
          <w:color w:val="auto"/>
        </w:rPr>
        <w:t>Administrative Borrower</w:t>
      </w:r>
      <w:r>
        <w:rPr>
          <w:rFonts w:ascii="Arial" w:cs="Arial" w:eastAsia="Arial" w:hAnsi="Arial"/>
          <w:sz w:val="16"/>
          <w:szCs w:val="16"/>
          <w:color w:val="auto"/>
        </w:rPr>
        <w:t xml:space="preserve">”)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the Administrative Borrower (a) to provide Agent with all notices with respect to Revolving Loans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 (b) to receive notices and instructions from members of the Lender Group (and any notice or instruction provided by any member of the Lender Group to the Administrative Borrower in accordance with the terms hereof shall be deemed to have been given to each Borrower), and (c) to take such action as the Administrative Borrower deems appropriate on its behalf to obtain Revolving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made against the Lender Group by any Borrower or by any third party whosoever, arising from or incurred by reason of (i) the handling of the Loan Account and Collateral of Borrowers as herein provided, or (ii) the Lender Group’s relying on any instructions of the Administrative Borrower, except that Borrowers will have no liability to the relevant Agent-Related Person or Lender-Related Person under this </w:t>
      </w:r>
      <w:r>
        <w:rPr>
          <w:rFonts w:ascii="Arial" w:cs="Arial" w:eastAsia="Arial" w:hAnsi="Arial"/>
          <w:sz w:val="16"/>
          <w:szCs w:val="16"/>
          <w:u w:val="single" w:color="auto"/>
          <w:color w:val="auto"/>
        </w:rPr>
        <w:t>Section 17.13</w:t>
      </w:r>
      <w:r>
        <w:rPr>
          <w:rFonts w:ascii="Arial" w:cs="Arial" w:eastAsia="Arial" w:hAnsi="Arial"/>
          <w:sz w:val="16"/>
          <w:szCs w:val="16"/>
          <w:color w:val="auto"/>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60" w:lineRule="exact"/>
        <w:rPr>
          <w:sz w:val="20"/>
          <w:szCs w:val="20"/>
          <w:color w:val="auto"/>
        </w:rPr>
      </w:pPr>
    </w:p>
    <w:p>
      <w:pPr>
        <w:ind w:right="180" w:firstLine="456"/>
        <w:spacing w:after="0" w:line="281" w:lineRule="auto"/>
        <w:rPr>
          <w:sz w:val="20"/>
          <w:szCs w:val="20"/>
          <w:color w:val="auto"/>
        </w:rPr>
      </w:pPr>
      <w:r>
        <w:rPr>
          <w:rFonts w:ascii="Arial" w:cs="Arial" w:eastAsia="Arial" w:hAnsi="Arial"/>
          <w:sz w:val="17"/>
          <w:szCs w:val="17"/>
          <w:color w:val="auto"/>
        </w:rPr>
        <w:t xml:space="preserve">17.14. </w:t>
      </w:r>
      <w:r>
        <w:rPr>
          <w:rFonts w:ascii="Arial" w:cs="Arial" w:eastAsia="Arial" w:hAnsi="Arial"/>
          <w:sz w:val="17"/>
          <w:szCs w:val="17"/>
          <w:b w:val="1"/>
          <w:bCs w:val="1"/>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274" w:right="259" w:bottom="1440" w:gutter="0" w:footer="0" w:header="0"/>
        </w:sectPr>
      </w:pPr>
    </w:p>
    <w:bookmarkStart w:id="231" w:name="page232"/>
    <w:bookmarkEnd w:id="231"/>
    <w:p>
      <w:pPr>
        <w:ind w:right="200" w:firstLine="921"/>
        <w:spacing w:after="0" w:line="277" w:lineRule="auto"/>
        <w:tabs>
          <w:tab w:leader="none" w:pos="1158"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right="80" w:firstLine="1492"/>
        <w:spacing w:after="0" w:line="286" w:lineRule="auto"/>
        <w:tabs>
          <w:tab w:leader="none" w:pos="1748"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color w:val="auto"/>
        </w:rPr>
      </w:pPr>
    </w:p>
    <w:p>
      <w:pPr>
        <w:ind w:left="1800" w:hanging="308"/>
        <w:spacing w:after="0"/>
        <w:tabs>
          <w:tab w:leader="none" w:pos="180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any EEA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Resolution Authority.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b w:val="1"/>
          <w:bCs w:val="1"/>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any other Loan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Document in one currency into another currency, the rate of exchange used shall be that at which in accordance with normal banking procedures Agent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the first currency with such other currency on the Business Day preceding that on which final judgment is given. The obligation of each Borrower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of any such sum due from it to Agent or any Lender hereunder or under the other Loan Documents shall, notwithstanding any judgment in a currency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Agent or such Lender, as the case may be, of any sum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so due in the Judgment Currency, Agent or such Lender, as the case may be, may in accordance with normal banking procedures purchase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Currency with the Judgment Currency. If the amount of the Agreement Currency so purchased is less than the sum originally due to Agent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from any Borrower in the Agreement Currency, such Borrower agrees, as a separate obligation and notwithstanding any such judgment, to indemnify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or such Lender, as the case may be, against such loss. If the amount of the Agreement Currency so purchased is greater than the sum originally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or any Lender in such currency, Agent or such Lender, as the case may be, agrees to return the amount of any excess to such Borrower (or to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who may be entitled thereto under applicable law).</w:t>
      </w:r>
    </w:p>
    <w:p>
      <w:pPr>
        <w:spacing w:after="0" w:line="99"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b w:val="1"/>
          <w:bCs w:val="1"/>
          <w:u w:val="single" w:color="auto"/>
          <w:color w:val="auto"/>
        </w:rPr>
        <w:t>No Setoff</w:t>
      </w:r>
      <w:r>
        <w:rPr>
          <w:rFonts w:ascii="Arial" w:cs="Arial" w:eastAsia="Arial" w:hAnsi="Arial"/>
          <w:sz w:val="18"/>
          <w:szCs w:val="18"/>
          <w:color w:val="auto"/>
        </w:rPr>
        <w:t>. All payments made by Borrowers hereunder or under any note or other Loan Document will be made without setoff, counterclaim, or other defense.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b w:val="1"/>
          <w:bCs w:val="1"/>
          <w:u w:val="single" w:color="auto"/>
          <w:color w:val="auto"/>
        </w:rPr>
        <w:t>CAM Exchange</w:t>
      </w:r>
      <w:r>
        <w:rPr>
          <w:rFonts w:ascii="Arial" w:cs="Arial" w:eastAsia="Arial" w:hAnsi="Arial"/>
          <w:sz w:val="18"/>
          <w:szCs w:val="18"/>
          <w:color w:val="auto"/>
        </w:rPr>
        <w:t>.</w:t>
      </w:r>
    </w:p>
    <w:p>
      <w:pPr>
        <w:spacing w:after="0" w:line="121" w:lineRule="exact"/>
        <w:rPr>
          <w:sz w:val="20"/>
          <w:szCs w:val="20"/>
          <w:color w:val="auto"/>
        </w:rPr>
      </w:pPr>
    </w:p>
    <w:p>
      <w:pPr>
        <w:jc w:val="both"/>
        <w:ind w:firstLine="921"/>
        <w:spacing w:after="0" w:line="312" w:lineRule="auto"/>
        <w:tabs>
          <w:tab w:leader="none" w:pos="115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On the CAM Exchange Date, (i) the Commitments shall automatically and without further act be terminated as provided in </w:t>
      </w:r>
      <w:r>
        <w:rPr>
          <w:rFonts w:ascii="Arial" w:cs="Arial" w:eastAsia="Arial" w:hAnsi="Arial"/>
          <w:sz w:val="16"/>
          <w:szCs w:val="16"/>
          <w:u w:val="single" w:color="auto"/>
          <w:color w:val="auto"/>
        </w:rPr>
        <w:t>Section 9.1(b)</w:t>
      </w:r>
      <w:r>
        <w:rPr>
          <w:rFonts w:ascii="Arial" w:cs="Arial" w:eastAsia="Arial" w:hAnsi="Arial"/>
          <w:sz w:val="16"/>
          <w:szCs w:val="16"/>
          <w:color w:val="auto"/>
        </w:rPr>
        <w:t>, (ii) each Lender shall immediately be deemed to have acquired participations in the Swing Loans in an amount equal to such Lender’s Pro Rata share (as in effect immediately prior to the CAM Exchange) of each Swing Loan outstanding on such date and shall promptly make payment therefor to the Agent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00"/>
          </w:cols>
          <w:pgMar w:left="240" w:top="274" w:right="259" w:bottom="1440" w:gutter="0" w:footer="0" w:header="0"/>
        </w:sectPr>
      </w:pPr>
    </w:p>
    <w:bookmarkStart w:id="232" w:name="page233"/>
    <w:bookmarkEnd w:id="23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accordance with </w:t>
      </w:r>
      <w:r>
        <w:rPr>
          <w:rFonts w:ascii="Arial" w:cs="Arial" w:eastAsia="Arial" w:hAnsi="Arial"/>
          <w:sz w:val="16"/>
          <w:szCs w:val="16"/>
          <w:u w:val="single" w:color="auto"/>
          <w:color w:val="auto"/>
        </w:rPr>
        <w:t>Section 2.3(e)(i)</w:t>
      </w:r>
      <w:r>
        <w:rPr>
          <w:rFonts w:ascii="Arial" w:cs="Arial" w:eastAsia="Arial" w:hAnsi="Arial"/>
          <w:sz w:val="16"/>
          <w:szCs w:val="16"/>
          <w:color w:val="auto"/>
        </w:rPr>
        <w:t xml:space="preserve">, (iii) simultaneously with the automatic conversions pursuant to clause (iv) below, the Lenders shall automatically and without further act (and without regard to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be deemed to have exchanged interests in the Loans (other than the Swing Loans) and participations in Swing Loans and Letters of Credit, such that in lieu of the interest of each Lender in each Loan and Letter of Credit in which it shall participate as of such date (including such Lender’s interest in the Obligations of each Borrower in respect of each such Loan and Letter of Credit), such Lender shall hold an interest in every one of the Loans (other than the Swing Loans), and a participation in every one of the Swing Loans and Letters of Credit (including the Obligations of each Borrower in respect of each such Loan), whether or not such Lender shall previously have participated therein, equal to such Lender’s CAM Percentage thereof and (iv) simultaneously with the deemed exchange of interests pursuant to clause (iii) above, all outstanding Revolving Loans denominated in Canadian Dollars or Sterling shall, automatically and with no further action required, be converted into Dollars, determined using the exchange rate calculated as of the Business Day immediately preceding the CAM Exchange Date, and (x) on and after such date all such Loans shall constitute Loans payable in Dollars and (y) all amounts payable by any Lender hereunder with respect to its participation in Letters of Credit shall be payable to the Agent in Dollars. Each Lender and each Borrower hereby consents and agrees to the CAM Exchange, and each Lender agrees that the CAM Exchange shall be binding upon its successors and assigns and any Person that acquires a participation in its interests in any Loan or any participation in any Swing Loan or Letter of Credit. Each Borrower agrees from time to time to execute and deliver to the Agent all such promissory notes and other instruments and documents as the Agent shall reasonably request to evidence and confirm the respective interests of the Lenders after giving effect to the CAM Exchange, and each Lender agrees to surrender any promissory notes originally received by it in connection with its Loans hereunder to the Agent against delivery of any promissory notes evidencing its interests in the Loans so executed and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Borrower to execute or deliver or of any Lender to accept any such promissory note, instrument or document shall not affect the validity or effectiveness of the CAM Exchange.</w:t>
      </w:r>
    </w:p>
    <w:p>
      <w:pPr>
        <w:spacing w:after="0" w:line="67" w:lineRule="exact"/>
        <w:rPr>
          <w:sz w:val="20"/>
          <w:szCs w:val="20"/>
          <w:color w:val="auto"/>
        </w:rPr>
      </w:pPr>
    </w:p>
    <w:p>
      <w:pPr>
        <w:ind w:right="60" w:firstLine="921"/>
        <w:spacing w:after="0" w:line="259" w:lineRule="auto"/>
        <w:tabs>
          <w:tab w:leader="none" w:pos="116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As a result of the CAM Exchange, upon and after the CAM Exchange Date, each payment received by the Agent pursuant to any Loan Document in respect of the Obligations shall be distributed to the Lenders pro rata in accordance with their respective CAM Percentages, in accordance with </w:t>
      </w:r>
      <w:r>
        <w:rPr>
          <w:rFonts w:ascii="Arial" w:cs="Arial" w:eastAsia="Arial" w:hAnsi="Arial"/>
          <w:sz w:val="18"/>
          <w:szCs w:val="18"/>
          <w:u w:val="single" w:color="auto"/>
          <w:color w:val="auto"/>
        </w:rPr>
        <w:t>Section 2.4(b)(ii)</w:t>
      </w:r>
      <w:r>
        <w:rPr>
          <w:rFonts w:ascii="Arial" w:cs="Arial" w:eastAsia="Arial" w:hAnsi="Arial"/>
          <w:sz w:val="18"/>
          <w:szCs w:val="18"/>
          <w:color w:val="auto"/>
        </w:rPr>
        <w:t>. Any direct payment received by a Lender on or after the CAM Exchange Date, including by way of setoff, in respect of an Obligation shall be paid over to an Agent for distribution to the Lenders in accordance herewith.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to follow.]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274" w:right="239" w:bottom="1440" w:gutter="0" w:footer="0" w:header="0"/>
        </w:sectPr>
      </w:pPr>
    </w:p>
    <w:bookmarkStart w:id="233" w:name="page234"/>
    <w:bookmarkEnd w:id="233"/>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hereto have caused this Agreement to be executed and delivered as of the date first above written.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US BORROWERS:</w:t>
            </w:r>
          </w:p>
        </w:tc>
        <w:tc>
          <w:tcPr>
            <w:tcW w:w="7420" w:type="dxa"/>
            <w:vAlign w:val="bottom"/>
            <w:gridSpan w:val="2"/>
          </w:tcPr>
          <w:p>
            <w:pPr>
              <w:ind w:left="1820"/>
              <w:spacing w:after="0"/>
              <w:rPr>
                <w:sz w:val="20"/>
                <w:szCs w:val="20"/>
                <w:color w:val="auto"/>
              </w:rPr>
            </w:pPr>
            <w:r>
              <w:rPr>
                <w:rFonts w:ascii="Arial" w:cs="Arial" w:eastAsia="Arial" w:hAnsi="Arial"/>
                <w:sz w:val="18"/>
                <w:szCs w:val="18"/>
                <w:b w:val="1"/>
                <w:bCs w:val="1"/>
                <w:color w:val="auto"/>
              </w:rPr>
              <w:t>NOW INC.</w:t>
            </w:r>
            <w:r>
              <w:rPr>
                <w:rFonts w:ascii="Arial" w:cs="Arial" w:eastAsia="Arial" w:hAnsi="Arial"/>
                <w:sz w:val="18"/>
                <w:szCs w:val="18"/>
                <w:color w:val="auto"/>
              </w:rPr>
              <w:t>, a Delaware corporation</w:t>
            </w:r>
          </w:p>
        </w:tc>
      </w:tr>
      <w:tr>
        <w:trPr>
          <w:trHeight w:val="432"/>
        </w:trPr>
        <w:tc>
          <w:tcPr>
            <w:tcW w:w="4000" w:type="dxa"/>
            <w:vAlign w:val="bottom"/>
          </w:tcPr>
          <w:p>
            <w:pPr>
              <w:spacing w:after="0"/>
              <w:rPr>
                <w:sz w:val="24"/>
                <w:szCs w:val="24"/>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L. Molinaro</w:t>
            </w:r>
          </w:p>
        </w:tc>
      </w:tr>
      <w:tr>
        <w:trPr>
          <w:trHeight w:val="209"/>
        </w:trPr>
        <w:tc>
          <w:tcPr>
            <w:tcW w:w="400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Daniel L. Molinaro</w:t>
            </w:r>
          </w:p>
        </w:tc>
      </w:tr>
      <w:tr>
        <w:trPr>
          <w:trHeight w:val="230"/>
        </w:trPr>
        <w:tc>
          <w:tcPr>
            <w:tcW w:w="4000" w:type="dxa"/>
            <w:vAlign w:val="bottom"/>
          </w:tcPr>
          <w:p>
            <w:pPr>
              <w:spacing w:after="0"/>
              <w:rPr>
                <w:sz w:val="20"/>
                <w:szCs w:val="20"/>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432"/>
        </w:trPr>
        <w:tc>
          <w:tcPr>
            <w:tcW w:w="4000" w:type="dxa"/>
            <w:vAlign w:val="bottom"/>
          </w:tcPr>
          <w:p>
            <w:pPr>
              <w:spacing w:after="0"/>
              <w:rPr>
                <w:sz w:val="24"/>
                <w:szCs w:val="24"/>
                <w:color w:val="auto"/>
              </w:rPr>
            </w:pPr>
          </w:p>
        </w:tc>
        <w:tc>
          <w:tcPr>
            <w:tcW w:w="7420" w:type="dxa"/>
            <w:vAlign w:val="bottom"/>
            <w:gridSpan w:val="2"/>
          </w:tcPr>
          <w:p>
            <w:pPr>
              <w:ind w:left="1820"/>
              <w:spacing w:after="0"/>
              <w:rPr>
                <w:sz w:val="20"/>
                <w:szCs w:val="20"/>
                <w:color w:val="auto"/>
              </w:rPr>
            </w:pPr>
            <w:r>
              <w:rPr>
                <w:rFonts w:ascii="Arial" w:cs="Arial" w:eastAsia="Arial" w:hAnsi="Arial"/>
                <w:sz w:val="18"/>
                <w:szCs w:val="18"/>
                <w:b w:val="1"/>
                <w:bCs w:val="1"/>
                <w:color w:val="auto"/>
              </w:rPr>
              <w:t>DNOW, L.P.</w:t>
            </w:r>
            <w:r>
              <w:rPr>
                <w:rFonts w:ascii="Arial" w:cs="Arial" w:eastAsia="Arial" w:hAnsi="Arial"/>
                <w:sz w:val="18"/>
                <w:szCs w:val="18"/>
                <w:color w:val="auto"/>
              </w:rPr>
              <w:t>, a Texas limited partnership</w:t>
            </w:r>
          </w:p>
        </w:tc>
      </w:tr>
      <w:tr>
        <w:trPr>
          <w:trHeight w:val="432"/>
        </w:trPr>
        <w:tc>
          <w:tcPr>
            <w:tcW w:w="4000" w:type="dxa"/>
            <w:vAlign w:val="bottom"/>
          </w:tcPr>
          <w:p>
            <w:pPr>
              <w:spacing w:after="0"/>
              <w:rPr>
                <w:sz w:val="24"/>
                <w:szCs w:val="24"/>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Wilson International, Inc., its general partner</w:t>
            </w:r>
          </w:p>
        </w:tc>
      </w:tr>
      <w:tr>
        <w:trPr>
          <w:trHeight w:val="432"/>
        </w:trPr>
        <w:tc>
          <w:tcPr>
            <w:tcW w:w="4000" w:type="dxa"/>
            <w:vAlign w:val="bottom"/>
          </w:tcPr>
          <w:p>
            <w:pPr>
              <w:spacing w:after="0"/>
              <w:rPr>
                <w:sz w:val="24"/>
                <w:szCs w:val="24"/>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L. Molinaro</w:t>
            </w:r>
          </w:p>
        </w:tc>
      </w:tr>
      <w:tr>
        <w:trPr>
          <w:trHeight w:val="209"/>
        </w:trPr>
        <w:tc>
          <w:tcPr>
            <w:tcW w:w="400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Daniel L. Molinaro</w:t>
            </w:r>
          </w:p>
        </w:tc>
      </w:tr>
      <w:tr>
        <w:trPr>
          <w:trHeight w:val="230"/>
        </w:trPr>
        <w:tc>
          <w:tcPr>
            <w:tcW w:w="4000" w:type="dxa"/>
            <w:vAlign w:val="bottom"/>
          </w:tcPr>
          <w:p>
            <w:pPr>
              <w:spacing w:after="0"/>
              <w:rPr>
                <w:sz w:val="20"/>
                <w:szCs w:val="20"/>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Treasurer</w:t>
            </w:r>
          </w:p>
        </w:tc>
      </w:tr>
      <w:tr>
        <w:trPr>
          <w:trHeight w:val="418"/>
        </w:trPr>
        <w:tc>
          <w:tcPr>
            <w:tcW w:w="4000" w:type="dxa"/>
            <w:vAlign w:val="bottom"/>
          </w:tcPr>
          <w:p>
            <w:pPr>
              <w:spacing w:after="0"/>
              <w:rPr>
                <w:sz w:val="20"/>
                <w:szCs w:val="20"/>
                <w:color w:val="auto"/>
              </w:rPr>
            </w:pPr>
            <w:r>
              <w:rPr>
                <w:rFonts w:ascii="Arial" w:cs="Arial" w:eastAsia="Arial" w:hAnsi="Arial"/>
                <w:sz w:val="18"/>
                <w:szCs w:val="18"/>
                <w:b w:val="1"/>
                <w:bCs w:val="1"/>
                <w:color w:val="auto"/>
              </w:rPr>
              <w:t>CANADIAN BORROWER:</w:t>
            </w:r>
          </w:p>
        </w:tc>
        <w:tc>
          <w:tcPr>
            <w:tcW w:w="7420" w:type="dxa"/>
            <w:vAlign w:val="bottom"/>
            <w:gridSpan w:val="2"/>
          </w:tcPr>
          <w:p>
            <w:pPr>
              <w:ind w:left="1820"/>
              <w:spacing w:after="0"/>
              <w:rPr>
                <w:sz w:val="20"/>
                <w:szCs w:val="20"/>
                <w:color w:val="auto"/>
              </w:rPr>
            </w:pPr>
            <w:r>
              <w:rPr>
                <w:rFonts w:ascii="Arial" w:cs="Arial" w:eastAsia="Arial" w:hAnsi="Arial"/>
                <w:sz w:val="18"/>
                <w:szCs w:val="18"/>
                <w:b w:val="1"/>
                <w:bCs w:val="1"/>
                <w:color w:val="auto"/>
              </w:rPr>
              <w:t>DNOW CANADA ULC</w:t>
            </w:r>
            <w:r>
              <w:rPr>
                <w:rFonts w:ascii="Arial" w:cs="Arial" w:eastAsia="Arial" w:hAnsi="Arial"/>
                <w:sz w:val="18"/>
                <w:szCs w:val="18"/>
                <w:color w:val="auto"/>
              </w:rPr>
              <w:t>,</w:t>
            </w:r>
          </w:p>
        </w:tc>
      </w:tr>
      <w:tr>
        <w:trPr>
          <w:trHeight w:val="230"/>
        </w:trPr>
        <w:tc>
          <w:tcPr>
            <w:tcW w:w="4000" w:type="dxa"/>
            <w:vAlign w:val="bottom"/>
          </w:tcPr>
          <w:p>
            <w:pPr>
              <w:spacing w:after="0"/>
              <w:rPr>
                <w:sz w:val="20"/>
                <w:szCs w:val="20"/>
                <w:color w:val="auto"/>
              </w:rPr>
            </w:pPr>
          </w:p>
        </w:tc>
        <w:tc>
          <w:tcPr>
            <w:tcW w:w="7420" w:type="dxa"/>
            <w:vAlign w:val="bottom"/>
            <w:gridSpan w:val="2"/>
          </w:tcPr>
          <w:p>
            <w:pPr>
              <w:ind w:left="1820"/>
              <w:spacing w:after="0"/>
              <w:rPr>
                <w:sz w:val="20"/>
                <w:szCs w:val="20"/>
                <w:color w:val="auto"/>
              </w:rPr>
            </w:pPr>
            <w:r>
              <w:rPr>
                <w:rFonts w:ascii="Arial" w:cs="Arial" w:eastAsia="Arial" w:hAnsi="Arial"/>
                <w:sz w:val="18"/>
                <w:szCs w:val="18"/>
                <w:color w:val="auto"/>
              </w:rPr>
              <w:t>an Alberta unlimited liability corporation</w:t>
            </w:r>
          </w:p>
        </w:tc>
      </w:tr>
      <w:tr>
        <w:trPr>
          <w:trHeight w:val="446"/>
        </w:trPr>
        <w:tc>
          <w:tcPr>
            <w:tcW w:w="4000" w:type="dxa"/>
            <w:vAlign w:val="bottom"/>
          </w:tcPr>
          <w:p>
            <w:pPr>
              <w:spacing w:after="0"/>
              <w:rPr>
                <w:sz w:val="24"/>
                <w:szCs w:val="24"/>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L. Molinaro</w:t>
            </w:r>
          </w:p>
        </w:tc>
      </w:tr>
      <w:tr>
        <w:trPr>
          <w:trHeight w:val="209"/>
        </w:trPr>
        <w:tc>
          <w:tcPr>
            <w:tcW w:w="400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Daniel L. Molinaro</w:t>
            </w:r>
          </w:p>
        </w:tc>
      </w:tr>
      <w:tr>
        <w:trPr>
          <w:trHeight w:val="230"/>
        </w:trPr>
        <w:tc>
          <w:tcPr>
            <w:tcW w:w="4000" w:type="dxa"/>
            <w:vAlign w:val="bottom"/>
          </w:tcPr>
          <w:p>
            <w:pPr>
              <w:spacing w:after="0"/>
              <w:rPr>
                <w:sz w:val="20"/>
                <w:szCs w:val="20"/>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1420"/>
          </w:cols>
          <w:pgMar w:left="240" w:top="270" w:right="239" w:bottom="1440" w:gutter="0" w:footer="0" w:header="0"/>
        </w:sectPr>
      </w:pPr>
    </w:p>
    <w:bookmarkStart w:id="234" w:name="page235"/>
    <w:bookmarkEnd w:id="23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r>
        <w:rPr>
          <w:rFonts w:ascii="Arial" w:cs="Arial" w:eastAsia="Arial" w:hAnsi="Arial"/>
          <w:sz w:val="18"/>
          <w:szCs w:val="18"/>
          <w:color w:val="auto"/>
        </w:rPr>
        <w:t>,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national banking association, as Agent, as Joint Lead Arranger,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Joint Book Runner, and 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S.N. Thomas,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S.N. Thomas, III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WELLS FARGO CAPITAL FINANCE CORPORATION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CANADA</w:t>
      </w:r>
      <w:r>
        <w:rPr>
          <w:rFonts w:ascii="Arial" w:cs="Arial" w:eastAsia="Arial" w:hAnsi="Arial"/>
          <w:sz w:val="18"/>
          <w:szCs w:val="18"/>
          <w:color w:val="auto"/>
        </w:rPr>
        <w:t>, as a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Phillips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Phillips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220"/>
          </w:cols>
          <w:pgMar w:left="1440" w:top="270" w:right="239" w:bottom="1440" w:gutter="0" w:footer="0" w:header="0"/>
        </w:sectPr>
      </w:pPr>
    </w:p>
    <w:bookmarkStart w:id="235" w:name="page236"/>
    <w:bookmarkEnd w:id="23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ROYAL BANK OF CANADA</w:t>
      </w:r>
      <w:r>
        <w:rPr>
          <w:rFonts w:ascii="Arial" w:cs="Arial" w:eastAsia="Arial" w:hAnsi="Arial"/>
          <w:sz w:val="18"/>
          <w:szCs w:val="18"/>
          <w:color w:val="auto"/>
        </w:rPr>
        <w:t>, as Joint Lead Arranger, 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Joint Book Runner, as Co-Syndication Agent and as a Lender</w:t>
      </w:r>
    </w:p>
    <w:p>
      <w:pPr>
        <w:spacing w:after="0" w:line="23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Lynch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Edward Lynch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220"/>
          </w:cols>
          <w:pgMar w:left="1440" w:top="270" w:right="239" w:bottom="1440" w:gutter="0" w:footer="0" w:header="0"/>
        </w:sectPr>
      </w:pPr>
    </w:p>
    <w:bookmarkStart w:id="236" w:name="page237"/>
    <w:bookmarkEnd w:id="23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Joint Lead Arranger, as Joint Book Runner, as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Co-Syndication Agent and as a Lender</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Anson Williams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Anson Williams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JPMORGAN CHASE BANK, N.A., TORONTO</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BRANCH,</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Auggie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Auggie Marchetti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Officer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JPMORGAN CHASE BANK, N.A., LONDON BRANCH,</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Sparkes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Matthew Sparkes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Officer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220"/>
          </w:cols>
          <w:pgMar w:left="1440" w:top="270" w:right="239" w:bottom="1440" w:gutter="0" w:footer="0" w:header="0"/>
        </w:sectPr>
      </w:pPr>
    </w:p>
    <w:bookmarkStart w:id="237" w:name="page238"/>
    <w:bookmarkEnd w:id="23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THIRD BANK</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Documentation Agent and as a Lender</w:t>
      </w:r>
    </w:p>
    <w:p>
      <w:pPr>
        <w:spacing w:after="0" w:line="24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P.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P. Hopkins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CREDIT AGREEMENT]</w:t>
      </w:r>
    </w:p>
    <w:p>
      <w:pPr>
        <w:sectPr>
          <w:pgSz w:w="11900" w:h="16838" w:orient="portrait"/>
          <w:cols w:equalWidth="0" w:num="1">
            <w:col w:w="9019"/>
          </w:cols>
          <w:pgMar w:left="1440" w:top="270" w:right="1440" w:bottom="1440" w:gutter="0" w:footer="0" w:header="0"/>
        </w:sectPr>
      </w:pPr>
    </w:p>
    <w:bookmarkStart w:id="238" w:name="page239"/>
    <w:bookmarkEnd w:id="23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BRANCH BANKING AND TRUST COMPANY</w:t>
      </w:r>
      <w:r>
        <w:rPr>
          <w:rFonts w:ascii="Arial" w:cs="Arial" w:eastAsia="Arial" w:hAnsi="Arial"/>
          <w:sz w:val="17"/>
          <w:szCs w:val="17"/>
          <w:color w:val="auto"/>
        </w:rPr>
        <w: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Miller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440"/>
          </w:cols>
          <w:pgMar w:left="1440" w:top="270" w:right="1019" w:bottom="1440" w:gutter="0" w:footer="0" w:header="0"/>
        </w:sectPr>
      </w:pPr>
    </w:p>
    <w:bookmarkStart w:id="239" w:name="page240"/>
    <w:bookmarkEnd w:id="23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jc w:val="both"/>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Sydney G. Dennis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CREDIT AGREEMENT]</w:t>
      </w:r>
    </w:p>
    <w:p>
      <w:pPr>
        <w:sectPr>
          <w:pgSz w:w="11900" w:h="16838" w:orient="portrait"/>
          <w:cols w:equalWidth="0" w:num="1">
            <w:col w:w="9019"/>
          </w:cols>
          <w:pgMar w:left="1440" w:top="270" w:right="1440" w:bottom="1440" w:gutter="0" w:footer="0" w:header="0"/>
        </w:sectPr>
      </w:pPr>
    </w:p>
    <w:bookmarkStart w:id="240" w:name="page241"/>
    <w:bookmarkEnd w:id="24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ABN AMRO CAPITAL USA LLC</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Darrell Holley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Darrell Holley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C. Ferreira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Anna C. Ferreira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220"/>
          </w:cols>
          <w:pgMar w:left="1440" w:top="270" w:right="239" w:bottom="1440" w:gutter="0" w:footer="0" w:header="0"/>
        </w:sectPr>
      </w:pPr>
    </w:p>
    <w:bookmarkStart w:id="241" w:name="page242"/>
    <w:bookmarkEnd w:id="24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ARAB BANKING CORPORATION (B.S.C.), GRAND</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CAYMAN BRANCH</w:t>
      </w:r>
      <w:r>
        <w:rPr>
          <w:rFonts w:ascii="Arial" w:cs="Arial" w:eastAsia="Arial" w:hAnsi="Arial"/>
          <w:sz w:val="18"/>
          <w:szCs w:val="18"/>
          <w:color w:val="auto"/>
        </w:rPr>
        <w: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Berbari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Tony Berbari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General 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Tull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Tull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Head of Wholesale Banking</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220"/>
          </w:cols>
          <w:pgMar w:left="1440" w:top="270" w:right="239" w:bottom="1440" w:gutter="0" w:footer="0" w:header="0"/>
        </w:sectPr>
      </w:pPr>
    </w:p>
    <w:bookmarkStart w:id="242" w:name="page243"/>
    <w:bookmarkEnd w:id="242"/>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CITIZENS BANK, N.A.</w:t>
      </w:r>
      <w:r>
        <w:rPr>
          <w:rFonts w:ascii="Arial" w:cs="Arial" w:eastAsia="Arial" w:hAnsi="Arial"/>
          <w:sz w:val="17"/>
          <w:szCs w:val="17"/>
          <w:color w:val="auto"/>
        </w:rPr>
        <w: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John E.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22225</wp:posOffset>
            </wp:positionV>
            <wp:extent cx="25215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E. Lucas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CREDIT AGREEMENT]</w:t>
      </w:r>
    </w:p>
    <w:p>
      <w:pPr>
        <w:sectPr>
          <w:pgSz w:w="11900" w:h="16838" w:orient="portrait"/>
          <w:cols w:equalWidth="0" w:num="1">
            <w:col w:w="9019"/>
          </w:cols>
          <w:pgMar w:left="1440" w:top="270" w:right="1440" w:bottom="1440" w:gutter="0" w:footer="0" w:header="0"/>
        </w:sectPr>
      </w:pPr>
    </w:p>
    <w:bookmarkStart w:id="243" w:name="page244"/>
    <w:bookmarkEnd w:id="24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BANK NATIONAL ASSOCIATION</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Yu</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Yu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U.S. BANK NATIONAL ASSOCIATION, ACTING</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THROUGH ITS CANADA BRANCH</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Yu</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Yu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AGREEMENT]</w:t>
      </w:r>
    </w:p>
    <w:sectPr>
      <w:pgSz w:w="11900" w:h="16838" w:orient="portrait"/>
      <w:cols w:equalWidth="0" w:num="1">
        <w:col w:w="10220"/>
      </w:cols>
      <w:pgMar w:left="14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2167AD"/>
    <w:multiLevelType w:val="hybridMultilevel"/>
    <w:lvl w:ilvl="0">
      <w:lvlJc w:val="left"/>
      <w:lvlText w:val="☐"/>
      <w:numFmt w:val="bullet"/>
      <w:start w:val="1"/>
    </w:lvl>
  </w:abstractNum>
  <w:abstractNum w:abstractNumId="1">
    <w:nsid w:val="631B64D4"/>
    <w:multiLevelType w:val="hybridMultilevel"/>
    <w:lvl w:ilvl="0">
      <w:lvlJc w:val="left"/>
      <w:lvlText w:val="%1."/>
      <w:numFmt w:val="decimal"/>
      <w:start w:val="1"/>
    </w:lvl>
  </w:abstractNum>
  <w:abstractNum w:abstractNumId="2">
    <w:nsid w:val="78B5E776"/>
    <w:multiLevelType w:val="hybridMultilevel"/>
    <w:lvl w:ilvl="0">
      <w:lvlJc w:val="left"/>
      <w:lvlText w:val="(%1)"/>
      <w:numFmt w:val="lowerLetter"/>
      <w:start w:val="1"/>
    </w:lvl>
    <w:lvl w:ilvl="1">
      <w:lvlJc w:val="left"/>
      <w:lvlText w:val="(%2)"/>
      <w:numFmt w:val="lowerRoman"/>
      <w:start w:val="1"/>
    </w:lvl>
  </w:abstractNum>
  <w:abstractNum w:abstractNumId="3">
    <w:nsid w:val="75486E47"/>
    <w:multiLevelType w:val="hybridMultilevel"/>
    <w:lvl w:ilvl="0">
      <w:lvlJc w:val="left"/>
      <w:lvlText w:val="(%1)"/>
      <w:numFmt w:val="lowerLetter"/>
      <w:start w:val="1"/>
    </w:lvl>
  </w:abstractNum>
  <w:abstractNum w:abstractNumId="4">
    <w:nsid w:val="6E534CDE"/>
    <w:multiLevelType w:val="hybridMultilevel"/>
    <w:lvl w:ilvl="0">
      <w:lvlJc w:val="left"/>
      <w:lvlText w:val="(%1)"/>
      <w:numFmt w:val="lowerLetter"/>
      <w:start w:val="2"/>
    </w:lvl>
  </w:abstractNum>
  <w:abstractNum w:abstractNumId="5">
    <w:nsid w:val="1A0DDE32"/>
    <w:multiLevelType w:val="hybridMultilevel"/>
    <w:lvl w:ilvl="0">
      <w:lvlJc w:val="left"/>
      <w:lvlText w:val="(%1)"/>
      <w:numFmt w:val="lowerRoman"/>
      <w:start w:val="3"/>
    </w:lvl>
  </w:abstractNum>
  <w:abstractNum w:abstractNumId="6">
    <w:nsid w:val="65968C1C"/>
    <w:multiLevelType w:val="hybridMultilevel"/>
    <w:lvl w:ilvl="0">
      <w:lvlJc w:val="left"/>
      <w:lvlText w:val="(%1)"/>
      <w:numFmt w:val="lowerLetter"/>
      <w:start w:val="1"/>
    </w:lvl>
  </w:abstractNum>
  <w:abstractNum w:abstractNumId="7">
    <w:nsid w:val="46263DEC"/>
    <w:multiLevelType w:val="hybridMultilevel"/>
    <w:lvl w:ilvl="0">
      <w:lvlJc w:val="left"/>
      <w:lvlText w:val="(%1)"/>
      <w:numFmt w:val="lowerLetter"/>
      <w:start w:val="2"/>
    </w:lvl>
  </w:abstractNum>
  <w:abstractNum w:abstractNumId="8">
    <w:nsid w:val="260D8C4A"/>
    <w:multiLevelType w:val="hybridMultilevel"/>
    <w:lvl w:ilvl="0">
      <w:lvlJc w:val="left"/>
      <w:lvlText w:val="(%1)"/>
      <w:numFmt w:val="lowerLetter"/>
      <w:start w:val="2"/>
    </w:lvl>
  </w:abstractNum>
  <w:abstractNum w:abstractNumId="9">
    <w:nsid w:val="73D4D3C4"/>
    <w:multiLevelType w:val="hybridMultilevel"/>
    <w:lvl w:ilvl="0">
      <w:lvlJc w:val="left"/>
      <w:lvlText w:val="(%1)"/>
      <w:numFmt w:val="lowerLetter"/>
      <w:start w:val="2"/>
    </w:lvl>
  </w:abstractNum>
  <w:abstractNum w:abstractNumId="10">
    <w:nsid w:val="746F2E30"/>
    <w:multiLevelType w:val="hybridMultilevel"/>
    <w:lvl w:ilvl="0">
      <w:lvlJc w:val="left"/>
      <w:lvlText w:val="(%1)"/>
      <w:numFmt w:val="lowerLetter"/>
      <w:start w:val="4"/>
    </w:lvl>
  </w:abstractNum>
  <w:abstractNum w:abstractNumId="11">
    <w:nsid w:val="6FDE8AF6"/>
    <w:multiLevelType w:val="hybridMultilevel"/>
    <w:lvl w:ilvl="0">
      <w:lvlJc w:val="left"/>
      <w:lvlText w:val="(%1)"/>
      <w:numFmt w:val="lowerLetter"/>
      <w:start w:val="1"/>
    </w:lvl>
    <w:lvl w:ilvl="1">
      <w:lvlJc w:val="left"/>
      <w:lvlText w:val="(%2)"/>
      <w:numFmt w:val="lowerRoman"/>
      <w:start w:val="1"/>
    </w:lvl>
  </w:abstractNum>
  <w:abstractNum w:abstractNumId="12">
    <w:nsid w:val="3FC32E20"/>
    <w:multiLevelType w:val="hybridMultilevel"/>
    <w:lvl w:ilvl="0">
      <w:lvlJc w:val="left"/>
      <w:lvlText w:val="(%1)"/>
      <w:numFmt w:val="lowerLetter"/>
      <w:start w:val="3"/>
    </w:lvl>
  </w:abstractNum>
  <w:abstractNum w:abstractNumId="13">
    <w:nsid w:val="49C0E823"/>
    <w:multiLevelType w:val="hybridMultilevel"/>
    <w:lvl w:ilvl="0">
      <w:lvlJc w:val="left"/>
      <w:lvlText w:val="(%1)"/>
      <w:numFmt w:val="lowerRoman"/>
      <w:start w:val="1"/>
    </w:lvl>
  </w:abstractNum>
  <w:abstractNum w:abstractNumId="14">
    <w:nsid w:val="14D53685"/>
    <w:multiLevelType w:val="hybridMultilevel"/>
    <w:lvl w:ilvl="0">
      <w:lvlJc w:val="left"/>
      <w:lvlText w:val="(%1)"/>
      <w:numFmt w:val="lowerRoman"/>
      <w:start w:val="10"/>
    </w:lvl>
  </w:abstractNum>
  <w:abstractNum w:abstractNumId="15">
    <w:nsid w:val="230F856C"/>
    <w:multiLevelType w:val="hybridMultilevel"/>
    <w:lvl w:ilvl="0">
      <w:lvlJc w:val="left"/>
      <w:lvlText w:val="(%1)"/>
      <w:numFmt w:val="lowerRoman"/>
      <w:start w:val="16"/>
    </w:lvl>
  </w:abstractNum>
  <w:abstractNum w:abstractNumId="16">
    <w:nsid w:val="6EAA85FB"/>
    <w:multiLevelType w:val="hybridMultilevel"/>
    <w:lvl w:ilvl="0">
      <w:lvlJc w:val="left"/>
      <w:lvlText w:val="%1"/>
      <w:numFmt w:val="upperLetter"/>
      <w:start w:val="1"/>
    </w:lvl>
    <w:lvl w:ilvl="1">
      <w:lvlJc w:val="left"/>
      <w:lvlText w:val="(%2)"/>
      <w:numFmt w:val="lowerRoman"/>
      <w:start w:val="19"/>
    </w:lvl>
  </w:abstractNum>
  <w:abstractNum w:abstractNumId="17">
    <w:nsid w:val="3F06ECB2"/>
    <w:multiLevelType w:val="hybridMultilevel"/>
    <w:lvl w:ilvl="0">
      <w:lvlJc w:val="left"/>
      <w:lvlText w:val="(%1)"/>
      <w:numFmt w:val="upperLetter"/>
      <w:start w:val="1"/>
    </w:lvl>
    <w:lvl w:ilvl="1">
      <w:lvlJc w:val="left"/>
      <w:lvlText w:val="%2"/>
      <w:numFmt w:val="lowerRoman"/>
      <w:start w:val="1"/>
    </w:lvl>
  </w:abstractNum>
  <w:abstractNum w:abstractNumId="18">
    <w:nsid w:val="3B594807"/>
    <w:multiLevelType w:val="hybridMultilevel"/>
    <w:lvl w:ilvl="0">
      <w:lvlJc w:val="left"/>
      <w:lvlText w:val="(%1)"/>
      <w:numFmt w:val="lowerLetter"/>
      <w:start w:val="1"/>
    </w:lvl>
  </w:abstractNum>
  <w:abstractNum w:abstractNumId="19">
    <w:nsid w:val="6CAA2304"/>
    <w:multiLevelType w:val="hybridMultilevel"/>
    <w:lvl w:ilvl="0">
      <w:lvlJc w:val="left"/>
      <w:lvlText w:val="(%1)"/>
      <w:numFmt w:val="lowerLetter"/>
      <w:start w:val="1"/>
    </w:lvl>
  </w:abstractNum>
  <w:abstractNum w:abstractNumId="20">
    <w:nsid w:val="3F7C2FF4"/>
    <w:multiLevelType w:val="hybridMultilevel"/>
    <w:lvl w:ilvl="0">
      <w:lvlJc w:val="left"/>
      <w:lvlText w:val="(%1)"/>
      <w:numFmt w:val="lowerLetter"/>
      <w:start w:val="5"/>
    </w:lvl>
  </w:abstractNum>
  <w:abstractNum w:abstractNumId="21">
    <w:nsid w:val="25413BEC"/>
    <w:multiLevelType w:val="hybridMultilevel"/>
    <w:lvl w:ilvl="0">
      <w:lvlJc w:val="left"/>
      <w:lvlText w:val="(%1)"/>
      <w:numFmt w:val="lowerLetter"/>
      <w:start w:val="10"/>
    </w:lvl>
  </w:abstractNum>
  <w:abstractNum w:abstractNumId="22">
    <w:nsid w:val="17180B0B"/>
    <w:multiLevelType w:val="hybridMultilevel"/>
    <w:lvl w:ilvl="0">
      <w:lvlJc w:val="left"/>
      <w:lvlText w:val="(%1)"/>
      <w:numFmt w:val="lowerLetter"/>
      <w:start w:val="1"/>
    </w:lvl>
  </w:abstractNum>
  <w:abstractNum w:abstractNumId="23">
    <w:nsid w:val="579328B9"/>
    <w:multiLevelType w:val="hybridMultilevel"/>
    <w:lvl w:ilvl="0">
      <w:lvlJc w:val="left"/>
      <w:lvlText w:val="(%1)"/>
      <w:numFmt w:val="lowerLetter"/>
      <w:start w:val="8"/>
    </w:lvl>
  </w:abstractNum>
  <w:abstractNum w:abstractNumId="24">
    <w:nsid w:val="5D205E20"/>
    <w:multiLevelType w:val="hybridMultilevel"/>
    <w:lvl w:ilvl="0">
      <w:lvlJc w:val="left"/>
      <w:lvlText w:val="(%1)"/>
      <w:numFmt w:val="lowerLetter"/>
      <w:start w:val="2"/>
    </w:lvl>
  </w:abstractNum>
  <w:abstractNum w:abstractNumId="25">
    <w:nsid w:val="11CCA8BA"/>
    <w:multiLevelType w:val="hybridMultilevel"/>
    <w:lvl w:ilvl="0">
      <w:lvlJc w:val="left"/>
      <w:lvlText w:val="(%1)"/>
      <w:numFmt w:val="lowerLetter"/>
      <w:start w:val="35"/>
    </w:lvl>
  </w:abstractNum>
  <w:abstractNum w:abstractNumId="26">
    <w:nsid w:val="4D32AB86"/>
    <w:multiLevelType w:val="hybridMultilevel"/>
    <w:lvl w:ilvl="0">
      <w:lvlJc w:val="left"/>
      <w:lvlText w:val="(%1)"/>
      <w:numFmt w:val="decimal"/>
      <w:start w:val="1"/>
    </w:lvl>
  </w:abstractNum>
  <w:abstractNum w:abstractNumId="27">
    <w:nsid w:val="3F07ACC3"/>
    <w:multiLevelType w:val="hybridMultilevel"/>
    <w:lvl w:ilvl="0">
      <w:lvlJc w:val="left"/>
      <w:lvlText w:val="(%1)"/>
      <w:numFmt w:val="lowerLetter"/>
      <w:start w:val="3"/>
    </w:lvl>
  </w:abstractNum>
  <w:abstractNum w:abstractNumId="28">
    <w:nsid w:val="6B47F63E"/>
    <w:multiLevelType w:val="hybridMultilevel"/>
    <w:lvl w:ilvl="0">
      <w:lvlJc w:val="left"/>
      <w:lvlText w:val="(%1)"/>
      <w:numFmt w:val="lowerLetter"/>
      <w:start w:val="8"/>
    </w:lvl>
  </w:abstractNum>
  <w:abstractNum w:abstractNumId="29">
    <w:nsid w:val="5CB44A05"/>
    <w:multiLevelType w:val="hybridMultilevel"/>
    <w:lvl w:ilvl="0">
      <w:lvlJc w:val="left"/>
      <w:lvlText w:val="(%1)"/>
      <w:numFmt w:val="lowerLetter"/>
      <w:start w:val="3"/>
    </w:lvl>
  </w:abstractNum>
  <w:abstractNum w:abstractNumId="30">
    <w:nsid w:val="16CF80F1"/>
    <w:multiLevelType w:val="hybridMultilevel"/>
    <w:lvl w:ilvl="0">
      <w:lvlJc w:val="left"/>
      <w:lvlText w:val="(%1)"/>
      <w:numFmt w:val="lowerLetter"/>
      <w:start w:val="6"/>
    </w:lvl>
  </w:abstractNum>
  <w:abstractNum w:abstractNumId="31">
    <w:nsid w:val="1C695DEC"/>
    <w:multiLevelType w:val="hybridMultilevel"/>
    <w:lvl w:ilvl="0">
      <w:lvlJc w:val="left"/>
      <w:lvlText w:val="(%1)"/>
      <w:numFmt w:val="upperLetter"/>
      <w:start w:val="1"/>
    </w:lvl>
  </w:abstractNum>
  <w:abstractNum w:abstractNumId="32">
    <w:nsid w:val="3FCFAED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3">
    <w:nsid w:val="F856867"/>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34">
    <w:nsid w:val="11B1CC33"/>
    <w:multiLevelType w:val="hybridMultilevel"/>
    <w:lvl w:ilvl="0">
      <w:lvlJc w:val="left"/>
      <w:lvlText w:val="(%1)"/>
      <w:numFmt w:val="lowerLetter"/>
      <w:start w:val="1"/>
    </w:lvl>
  </w:abstractNum>
  <w:abstractNum w:abstractNumId="35">
    <w:nsid w:val="2E22FBB7"/>
    <w:multiLevelType w:val="hybridMultilevel"/>
    <w:lvl w:ilvl="0">
      <w:lvlJc w:val="left"/>
      <w:lvlText w:val="(%1)"/>
      <w:numFmt w:val="lowerLetter"/>
      <w:start w:val="1"/>
    </w:lvl>
  </w:abstractNum>
  <w:abstractNum w:abstractNumId="36">
    <w:nsid w:val="29934699"/>
    <w:multiLevelType w:val="hybridMultilevel"/>
    <w:lvl w:ilvl="0">
      <w:lvlJc w:val="left"/>
      <w:lvlText w:val="(%1)"/>
      <w:numFmt w:val="lowerLetter"/>
      <w:start w:val="5"/>
    </w:lvl>
  </w:abstractNum>
  <w:abstractNum w:abstractNumId="37">
    <w:nsid w:val="77485850"/>
    <w:multiLevelType w:val="hybridMultilevel"/>
    <w:lvl w:ilvl="0">
      <w:lvlJc w:val="left"/>
      <w:lvlText w:val="(%1)"/>
      <w:numFmt w:val="lowerLetter"/>
      <w:start w:val="16"/>
    </w:lvl>
  </w:abstractNum>
  <w:abstractNum w:abstractNumId="38">
    <w:nsid w:val="744939A3"/>
    <w:multiLevelType w:val="hybridMultilevel"/>
    <w:lvl w:ilvl="0">
      <w:lvlJc w:val="left"/>
      <w:lvlText w:val="(%1)"/>
      <w:numFmt w:val="lowerLetter"/>
      <w:start w:val="1"/>
    </w:lvl>
  </w:abstractNum>
  <w:abstractNum w:abstractNumId="39">
    <w:nsid w:val="4FA0D2E3"/>
    <w:multiLevelType w:val="hybridMultilevel"/>
    <w:lvl w:ilvl="0">
      <w:lvlJc w:val="left"/>
      <w:lvlText w:val="(%1)"/>
      <w:numFmt w:val="lowerLetter"/>
      <w:start w:val="10"/>
    </w:lvl>
  </w:abstractNum>
  <w:abstractNum w:abstractNumId="40">
    <w:nsid w:val="6B1D2C14"/>
    <w:multiLevelType w:val="hybridMultilevel"/>
    <w:lvl w:ilvl="0">
      <w:lvlJc w:val="left"/>
      <w:lvlText w:val="%1"/>
      <w:numFmt w:val="lowerLetter"/>
      <w:start w:val="1"/>
    </w:lvl>
    <w:lvl w:ilvl="1">
      <w:lvlJc w:val="left"/>
      <w:lvlText w:val="(%2)"/>
      <w:numFmt w:val="lowerLetter"/>
      <w:start w:val="20"/>
    </w:lvl>
  </w:abstractNum>
  <w:abstractNum w:abstractNumId="41">
    <w:nsid w:val="68B867D3"/>
    <w:multiLevelType w:val="hybridMultilevel"/>
    <w:lvl w:ilvl="0">
      <w:lvlJc w:val="left"/>
      <w:lvlText w:val="(%1)"/>
      <w:numFmt w:val="lowerLetter"/>
      <w:start w:val="1"/>
    </w:lvl>
    <w:lvl w:ilvl="1">
      <w:lvlJc w:val="left"/>
      <w:lvlText w:val="%2"/>
      <w:numFmt w:val="lowerLetter"/>
      <w:start w:val="1"/>
    </w:lvl>
  </w:abstractNum>
  <w:abstractNum w:abstractNumId="42">
    <w:nsid w:val="3F7F5DD9"/>
    <w:multiLevelType w:val="hybridMultilevel"/>
    <w:lvl w:ilvl="0">
      <w:lvlJc w:val="left"/>
      <w:lvlText w:val="(%1)"/>
      <w:numFmt w:val="lowerLetter"/>
      <w:start w:val="1"/>
    </w:lvl>
  </w:abstractNum>
  <w:abstractNum w:abstractNumId="43">
    <w:nsid w:val="2AE05A34"/>
    <w:multiLevelType w:val="hybridMultilevel"/>
    <w:lvl w:ilvl="0">
      <w:lvlJc w:val="left"/>
      <w:lvlText w:val="(%1)"/>
      <w:numFmt w:val="lowerLetter"/>
      <w:start w:val="11"/>
    </w:lvl>
  </w:abstractNum>
  <w:abstractNum w:abstractNumId="44">
    <w:nsid w:val="32794FF7"/>
    <w:multiLevelType w:val="hybridMultilevel"/>
    <w:lvl w:ilvl="0">
      <w:lvlJc w:val="left"/>
      <w:lvlText w:val="(%1)"/>
      <w:numFmt w:val="lowerLetter"/>
      <w:start w:val="1"/>
    </w:lvl>
  </w:abstractNum>
  <w:abstractNum w:abstractNumId="45">
    <w:nsid w:val="5454945E"/>
    <w:multiLevelType w:val="hybridMultilevel"/>
    <w:lvl w:ilvl="0">
      <w:lvlJc w:val="left"/>
      <w:lvlText w:val="(%1)"/>
      <w:numFmt w:val="lowerLetter"/>
      <w:start w:val="2"/>
    </w:lvl>
  </w:abstractNum>
  <w:abstractNum w:abstractNumId="46">
    <w:nsid w:val="4DEFDFA0"/>
    <w:multiLevelType w:val="hybridMultilevel"/>
    <w:lvl w:ilvl="0">
      <w:lvlJc w:val="left"/>
      <w:lvlText w:val="(%1)"/>
      <w:numFmt w:val="lowerLetter"/>
      <w:start w:val="12"/>
    </w:lvl>
  </w:abstractNum>
  <w:abstractNum w:abstractNumId="47">
    <w:nsid w:val="2123D5F2"/>
    <w:multiLevelType w:val="hybridMultilevel"/>
    <w:lvl w:ilvl="0">
      <w:lvlJc w:val="left"/>
      <w:lvlText w:val="(%1)"/>
      <w:numFmt w:val="lowerLetter"/>
      <w:start w:val="23"/>
    </w:lvl>
  </w:abstractNum>
  <w:abstractNum w:abstractNumId="48">
    <w:nsid w:val="135B8110"/>
    <w:multiLevelType w:val="hybridMultilevel"/>
    <w:lvl w:ilvl="0">
      <w:lvlJc w:val="left"/>
      <w:lvlText w:val="(%1)"/>
      <w:numFmt w:val="lowerLetter"/>
      <w:start w:val="1"/>
    </w:lvl>
  </w:abstractNum>
  <w:abstractNum w:abstractNumId="49">
    <w:nsid w:val="94927A8"/>
    <w:multiLevelType w:val="hybridMultilevel"/>
    <w:lvl w:ilvl="0">
      <w:lvlJc w:val="left"/>
      <w:lvlText w:val="(%1)"/>
      <w:numFmt w:val="lowerLetter"/>
      <w:start w:val="3"/>
    </w:lvl>
  </w:abstractNum>
  <w:abstractNum w:abstractNumId="50">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51">
    <w:nsid w:val="52D7B105"/>
    <w:multiLevelType w:val="hybridMultilevel"/>
    <w:lvl w:ilvl="0">
      <w:lvlJc w:val="left"/>
      <w:lvlText w:val="%1"/>
      <w:numFmt w:val="lowerLetter"/>
      <w:start w:val="1"/>
    </w:lvl>
    <w:lvl w:ilvl="1">
      <w:lvlJc w:val="left"/>
      <w:lvlText w:val="(%2)"/>
      <w:numFmt w:val="lowerLetter"/>
      <w:start w:val="61"/>
    </w:lvl>
  </w:abstractNum>
  <w:abstractNum w:abstractNumId="52">
    <w:nsid w:val="2E8A6394"/>
    <w:multiLevelType w:val="hybridMultilevel"/>
    <w:lvl w:ilvl="0">
      <w:lvlJc w:val="left"/>
      <w:lvlText w:val="(%1)"/>
      <w:numFmt w:val="lowerLetter"/>
      <w:start w:val="2"/>
    </w:lvl>
    <w:lvl w:ilvl="1">
      <w:lvlJc w:val="left"/>
      <w:lvlText w:val="%2"/>
      <w:numFmt w:val="lowerLetter"/>
      <w:start w:val="1"/>
    </w:lvl>
  </w:abstractNum>
  <w:abstractNum w:abstractNumId="53">
    <w:nsid w:val="24E60401"/>
    <w:multiLevelType w:val="hybridMultilevel"/>
    <w:lvl w:ilvl="0">
      <w:lvlJc w:val="left"/>
      <w:lvlText w:val="(%1)"/>
      <w:numFmt w:val="lowerLetter"/>
      <w:start w:val="1"/>
    </w:lvl>
  </w:abstractNum>
  <w:abstractNum w:abstractNumId="54">
    <w:nsid w:val="2A6AD9BE"/>
    <w:multiLevelType w:val="hybridMultilevel"/>
    <w:lvl w:ilvl="0">
      <w:lvlJc w:val="left"/>
      <w:lvlText w:val="(%1)"/>
      <w:numFmt w:val="lowerLetter"/>
      <w:start w:val="5"/>
    </w:lvl>
  </w:abstractNum>
  <w:abstractNum w:abstractNumId="55">
    <w:nsid w:val="BAAC1B4"/>
    <w:multiLevelType w:val="hybridMultilevel"/>
    <w:lvl w:ilvl="0">
      <w:lvlJc w:val="left"/>
      <w:lvlText w:val="(%1)"/>
      <w:numFmt w:val="lowerLetter"/>
      <w:start w:val="4"/>
    </w:lvl>
  </w:abstractNum>
  <w:abstractNum w:abstractNumId="56">
    <w:nsid w:val="36B2ACBC"/>
    <w:multiLevelType w:val="hybridMultilevel"/>
    <w:lvl w:ilvl="0">
      <w:lvlJc w:val="left"/>
      <w:lvlText w:val="(%1)"/>
      <w:numFmt w:val="lowerLetter"/>
      <w:start w:val="4"/>
    </w:lvl>
  </w:abstractNum>
  <w:abstractNum w:abstractNumId="57">
    <w:nsid w:val="779D8544"/>
    <w:multiLevelType w:val="hybridMultilevel"/>
    <w:lvl w:ilvl="0">
      <w:lvlJc w:val="left"/>
      <w:lvlText w:val="(%1)"/>
      <w:numFmt w:val="lowerLetter"/>
      <w:start w:val="3"/>
    </w:lvl>
  </w:abstractNum>
  <w:abstractNum w:abstractNumId="58">
    <w:nsid w:val="4AB26E78"/>
    <w:multiLevelType w:val="hybridMultilevel"/>
    <w:lvl w:ilvl="0">
      <w:lvlJc w:val="left"/>
      <w:lvlText w:val="(%1)"/>
      <w:numFmt w:val="lowerLetter"/>
      <w:start w:val="1"/>
    </w:lvl>
    <w:lvl w:ilvl="1">
      <w:lvlJc w:val="left"/>
      <w:lvlText w:val="(%2)"/>
      <w:numFmt w:val="lowerRoman"/>
      <w:start w:val="1"/>
    </w:lvl>
  </w:abstractNum>
  <w:abstractNum w:abstractNumId="59">
    <w:nsid w:val="21FAA2FA"/>
    <w:multiLevelType w:val="hybridMultilevel"/>
    <w:lvl w:ilvl="0">
      <w:lvlJc w:val="left"/>
      <w:lvlText w:val="(%1)"/>
      <w:numFmt w:val="lowerLetter"/>
      <w:start w:val="1"/>
    </w:lvl>
  </w:abstractNum>
  <w:abstractNum w:abstractNumId="60">
    <w:nsid w:val="5451CF49"/>
    <w:multiLevelType w:val="hybridMultilevel"/>
    <w:lvl w:ilvl="0">
      <w:lvlJc w:val="left"/>
      <w:lvlText w:val="(%1)"/>
      <w:numFmt w:val="lowerLetter"/>
      <w:start w:val="1"/>
    </w:lvl>
  </w:abstractNum>
  <w:abstractNum w:abstractNumId="61">
    <w:nsid w:val="6181EF69"/>
    <w:multiLevelType w:val="hybridMultilevel"/>
    <w:lvl w:ilvl="0">
      <w:lvlJc w:val="left"/>
      <w:lvlText w:val="(%1)"/>
      <w:numFmt w:val="lowerLetter"/>
      <w:start w:val="1"/>
    </w:lvl>
  </w:abstractNum>
  <w:abstractNum w:abstractNumId="62">
    <w:nsid w:val="3E6400E6"/>
    <w:multiLevelType w:val="hybridMultilevel"/>
    <w:lvl w:ilvl="0">
      <w:lvlJc w:val="left"/>
      <w:lvlText w:val="(%1)"/>
      <w:numFmt w:val="lowerRoman"/>
      <w:start w:val="3"/>
    </w:lvl>
  </w:abstractNum>
  <w:abstractNum w:abstractNumId="63">
    <w:nsid w:val="14217E23"/>
    <w:multiLevelType w:val="hybridMultilevel"/>
    <w:lvl w:ilvl="0">
      <w:lvlJc w:val="left"/>
      <w:lvlText w:val="(%1)"/>
      <w:numFmt w:val="lowerLetter"/>
      <w:start w:val="1"/>
    </w:lvl>
  </w:abstractNum>
  <w:abstractNum w:abstractNumId="64">
    <w:nsid w:val="710757D0"/>
    <w:multiLevelType w:val="hybridMultilevel"/>
    <w:lvl w:ilvl="0">
      <w:lvlJc w:val="left"/>
      <w:lvlText w:val="(%1)"/>
      <w:numFmt w:val="lowerLetter"/>
      <w:start w:val="3"/>
    </w:lvl>
  </w:abstractNum>
  <w:abstractNum w:abstractNumId="65">
    <w:nsid w:val="5015CD1A"/>
    <w:multiLevelType w:val="hybridMultilevel"/>
    <w:lvl w:ilvl="0">
      <w:lvlJc w:val="left"/>
      <w:lvlText w:val="(%1)"/>
      <w:numFmt w:val="lowerLetter"/>
      <w:start w:val="13"/>
    </w:lvl>
  </w:abstractNum>
  <w:abstractNum w:abstractNumId="66">
    <w:nsid w:val="424479DA"/>
    <w:multiLevelType w:val="hybridMultilevel"/>
    <w:lvl w:ilvl="0">
      <w:lvlJc w:val="left"/>
      <w:lvlText w:val="(%1)"/>
      <w:numFmt w:val="lowerLetter"/>
      <w:start w:val="3"/>
    </w:lvl>
  </w:abstractNum>
  <w:abstractNum w:abstractNumId="67">
    <w:nsid w:val="1A9A9E6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8">
    <w:nsid w:val="475E256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9">
    <w:nsid w:val="368DB37E"/>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70">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71">
    <w:nsid w:val="327B517E"/>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1"/>
    </w:lvl>
    <w:lvl w:ilvl="3">
      <w:lvlJc w:val="left"/>
      <w:lvlText w:val="(%4)"/>
      <w:numFmt w:val="upperLetter"/>
      <w:start w:val="3"/>
    </w:lvl>
  </w:abstractNum>
  <w:abstractNum w:abstractNumId="72">
    <w:nsid w:val="1F461B51"/>
    <w:multiLevelType w:val="hybridMultilevel"/>
    <w:lvl w:ilvl="0">
      <w:lvlJc w:val="left"/>
      <w:lvlText w:val="(%1)"/>
      <w:numFmt w:val="lowerLetter"/>
      <w:start w:val="5"/>
    </w:lvl>
  </w:abstractNum>
  <w:abstractNum w:abstractNumId="73">
    <w:nsid w:val="29BACF25"/>
    <w:multiLevelType w:val="hybridMultilevel"/>
    <w:lvl w:ilvl="0">
      <w:lvlJc w:val="left"/>
      <w:lvlText w:val="(%1)"/>
      <w:numFmt w:val="lowerLetter"/>
      <w:start w:val="1"/>
    </w:lvl>
  </w:abstractNum>
  <w:abstractNum w:abstractNumId="74">
    <w:nsid w:val="5D5BABB3"/>
    <w:multiLevelType w:val="hybridMultilevel"/>
    <w:lvl w:ilvl="0">
      <w:lvlJc w:val="left"/>
      <w:lvlText w:val="(%1)"/>
      <w:numFmt w:val="lowerLetter"/>
      <w:start w:val="2"/>
    </w:lvl>
    <w:lvl w:ilvl="1">
      <w:lvlJc w:val="left"/>
      <w:lvlText w:val="(%2)"/>
      <w:numFmt w:val="lowerLetter"/>
      <w:start w:val="9"/>
    </w:lvl>
  </w:abstractNum>
  <w:abstractNum w:abstractNumId="75">
    <w:nsid w:val="51BF6B48"/>
    <w:multiLevelType w:val="hybridMultilevel"/>
    <w:lvl w:ilvl="0">
      <w:lvlJc w:val="left"/>
      <w:lvlText w:val="(%1)"/>
      <w:numFmt w:val="lowerRoman"/>
      <w:start w:val="2"/>
    </w:lvl>
  </w:abstractNum>
  <w:abstractNum w:abstractNumId="76">
    <w:nsid w:val="7E0F6384"/>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77">
    <w:nsid w:val="2B4B8B5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78">
    <w:nsid w:val="72E3413A"/>
    <w:multiLevelType w:val="hybridMultilevel"/>
    <w:lvl w:ilvl="0">
      <w:lvlJc w:val="left"/>
      <w:lvlText w:val="(%1)"/>
      <w:numFmt w:val="lowerRoman"/>
      <w:start w:val="3"/>
    </w:lvl>
  </w:abstractNum>
  <w:abstractNum w:abstractNumId="79">
    <w:nsid w:val="116AE494"/>
    <w:multiLevelType w:val="hybridMultilevel"/>
    <w:lvl w:ilvl="0">
      <w:lvlJc w:val="left"/>
      <w:lvlText w:val="%1"/>
      <w:numFmt w:val="lowerLetter"/>
      <w:start w:val="1"/>
    </w:lvl>
    <w:lvl w:ilvl="1">
      <w:lvlJc w:val="left"/>
      <w:lvlText w:val="(%2)"/>
      <w:numFmt w:val="lowerRoman"/>
      <w:start w:val="4"/>
    </w:lvl>
  </w:abstractNum>
  <w:abstractNum w:abstractNumId="80">
    <w:nsid w:val="3494B2FB"/>
    <w:multiLevelType w:val="hybridMultilevel"/>
    <w:lvl w:ilvl="0">
      <w:lvlJc w:val="left"/>
      <w:lvlText w:val="(%1)"/>
      <w:numFmt w:val="lowerLetter"/>
      <w:start w:val="5"/>
    </w:lvl>
    <w:lvl w:ilvl="1">
      <w:lvlJc w:val="left"/>
      <w:lvlText w:val="(%2)"/>
      <w:numFmt w:val="lowerRoman"/>
      <w:start w:val="1"/>
    </w:lvl>
  </w:abstractNum>
  <w:abstractNum w:abstractNumId="81">
    <w:nsid w:val="B13A31"/>
    <w:multiLevelType w:val="hybridMultilevel"/>
    <w:lvl w:ilvl="0">
      <w:lvlJc w:val="left"/>
      <w:lvlText w:val="(%1)"/>
      <w:numFmt w:val="lowerRoman"/>
      <w:start w:val="2"/>
    </w:lvl>
  </w:abstractNum>
  <w:abstractNum w:abstractNumId="82">
    <w:nsid w:val="6442959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83">
    <w:nsid w:val="631F1690"/>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84">
    <w:nsid w:val="25973E3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5">
    <w:nsid w:val="EAD6F57"/>
    <w:multiLevelType w:val="hybridMultilevel"/>
    <w:lvl w:ilvl="0">
      <w:lvlJc w:val="left"/>
      <w:lvlText w:val="(%1)"/>
      <w:numFmt w:val="lowerRoman"/>
      <w:start w:val="7"/>
    </w:lvl>
  </w:abstractNum>
  <w:abstractNum w:abstractNumId="86">
    <w:nsid w:val="6EC9D844"/>
    <w:multiLevelType w:val="hybridMultilevel"/>
    <w:lvl w:ilvl="0">
      <w:lvlJc w:val="left"/>
      <w:lvlText w:val="(%1)"/>
      <w:numFmt w:val="lowerRoman"/>
      <w:start w:val="5"/>
    </w:lvl>
  </w:abstractNum>
  <w:abstractNum w:abstractNumId="87">
    <w:nsid w:val="5C49EAEE"/>
    <w:multiLevelType w:val="hybridMultilevel"/>
    <w:lvl w:ilvl="0">
      <w:lvlJc w:val="left"/>
      <w:lvlText w:val="(%1)"/>
      <w:numFmt w:val="upperLetter"/>
      <w:start w:val="2"/>
    </w:lvl>
  </w:abstractNum>
  <w:abstractNum w:abstractNumId="88">
    <w:nsid w:val="64AF49B"/>
    <w:multiLevelType w:val="hybridMultilevel"/>
    <w:lvl w:ilvl="0">
      <w:lvlJc w:val="left"/>
      <w:lvlText w:val="%1"/>
      <w:numFmt w:val="lowerRoman"/>
      <w:start w:val="1"/>
    </w:lvl>
    <w:lvl w:ilvl="1">
      <w:lvlJc w:val="left"/>
      <w:lvlText w:val="(%2)"/>
      <w:numFmt w:val="upperLetter"/>
      <w:start w:val="3"/>
    </w:lvl>
  </w:abstractNum>
  <w:abstractNum w:abstractNumId="89">
    <w:nsid w:val="397C46BC"/>
    <w:multiLevelType w:val="hybridMultilevel"/>
    <w:lvl w:ilvl="0">
      <w:lvlJc w:val="left"/>
      <w:lvlText w:val="(%1)"/>
      <w:numFmt w:val="lowerRoman"/>
      <w:start w:val="3"/>
    </w:lvl>
    <w:lvl w:ilvl="1">
      <w:lvlJc w:val="left"/>
      <w:lvlText w:val="%2"/>
      <w:numFmt w:val="upperLetter"/>
      <w:start w:val="1"/>
    </w:lvl>
  </w:abstractNum>
  <w:abstractNum w:abstractNumId="90">
    <w:nsid w:val="7E448DE9"/>
    <w:multiLevelType w:val="hybridMultilevel"/>
    <w:lvl w:ilvl="0">
      <w:lvlJc w:val="left"/>
      <w:lvlText w:val="(%1)"/>
      <w:numFmt w:val="lowerLetter"/>
      <w:start w:val="8"/>
    </w:lvl>
  </w:abstractNum>
  <w:abstractNum w:abstractNumId="91">
    <w:nsid w:val="5A9CC3E5"/>
    <w:multiLevelType w:val="hybridMultilevel"/>
    <w:lvl w:ilvl="0">
      <w:lvlJc w:val="left"/>
      <w:lvlText w:val="(%1)"/>
      <w:numFmt w:val="lowerLetter"/>
      <w:start w:val="1"/>
    </w:lvl>
    <w:lvl w:ilvl="1">
      <w:lvlJc w:val="left"/>
      <w:lvlText w:val="(%2)"/>
      <w:numFmt w:val="lowerRoman"/>
      <w:start w:val="1"/>
    </w:lvl>
  </w:abstractNum>
  <w:abstractNum w:abstractNumId="92">
    <w:nsid w:val="1AFE3625"/>
    <w:multiLevelType w:val="hybridMultilevel"/>
    <w:lvl w:ilvl="0">
      <w:lvlJc w:val="left"/>
      <w:lvlText w:val="(%1)"/>
      <w:numFmt w:val="lowerRoman"/>
      <w:start w:val="10"/>
    </w:lvl>
    <w:lvl w:ilvl="1">
      <w:lvlJc w:val="left"/>
      <w:lvlText w:val="(%2)"/>
      <w:numFmt w:val="lowerRoman"/>
      <w:start w:val="2"/>
    </w:lvl>
    <w:lvl w:ilvl="2">
      <w:lvlJc w:val="left"/>
      <w:lvlText w:val="(%3)"/>
      <w:numFmt w:val="upperLetter"/>
      <w:start w:val="1"/>
    </w:lvl>
    <w:lvl w:ilvl="3">
      <w:lvlJc w:val="left"/>
      <w:lvlText w:val="%4."/>
      <w:numFmt w:val="lowerRoman"/>
      <w:start w:val="1"/>
    </w:lvl>
  </w:abstractNum>
  <w:abstractNum w:abstractNumId="93">
    <w:nsid w:val="3CA88ECF"/>
    <w:multiLevelType w:val="hybridMultilevel"/>
    <w:lvl w:ilvl="0">
      <w:lvlJc w:val="left"/>
      <w:lvlText w:val="%1."/>
      <w:numFmt w:val="lowerRoman"/>
      <w:start w:val="7"/>
    </w:lvl>
  </w:abstractNum>
  <w:abstractNum w:abstractNumId="94">
    <w:nsid w:val="6EBE4208"/>
    <w:multiLevelType w:val="hybridMultilevel"/>
    <w:lvl w:ilvl="0">
      <w:lvlJc w:val="left"/>
      <w:lvlText w:val="(%1)"/>
      <w:numFmt w:val="upperLetter"/>
      <w:start w:val="35"/>
    </w:lvl>
  </w:abstractNum>
  <w:abstractNum w:abstractNumId="95">
    <w:nsid w:val="C058DF5"/>
    <w:multiLevelType w:val="hybridMultilevel"/>
    <w:lvl w:ilvl="0">
      <w:lvlJc w:val="left"/>
      <w:lvlText w:val="%1."/>
      <w:numFmt w:val="lowerRoman"/>
      <w:start w:val="11"/>
    </w:lvl>
  </w:abstractNum>
  <w:abstractNum w:abstractNumId="96">
    <w:nsid w:val="CBE5BE9"/>
    <w:multiLevelType w:val="hybridMultilevel"/>
    <w:lvl w:ilvl="0">
      <w:lvlJc w:val="left"/>
      <w:lvlText w:val="(%1)"/>
      <w:numFmt w:val="upperLetter"/>
      <w:start w:val="2"/>
    </w:lvl>
  </w:abstractNum>
  <w:abstractNum w:abstractNumId="97">
    <w:nsid w:val="3102BBE2"/>
    <w:multiLevelType w:val="hybridMultilevel"/>
    <w:lvl w:ilvl="0">
      <w:lvlJc w:val="left"/>
      <w:lvlText w:val="%1."/>
      <w:numFmt w:val="lowerRoman"/>
      <w:start w:val="3"/>
    </w:lvl>
  </w:abstractNum>
  <w:abstractNum w:abstractNumId="98">
    <w:nsid w:val="26A02C5E"/>
    <w:multiLevelType w:val="hybridMultilevel"/>
    <w:lvl w:ilvl="0">
      <w:lvlJc w:val="left"/>
      <w:lvlText w:val="%1."/>
      <w:numFmt w:val="lowerRoman"/>
      <w:start w:val="6"/>
    </w:lvl>
    <w:lvl w:ilvl="1">
      <w:lvlJc w:val="left"/>
      <w:lvlText w:val="%2."/>
      <w:numFmt w:val="lowerLetter"/>
      <w:start w:val="1"/>
    </w:lvl>
  </w:abstractNum>
  <w:abstractNum w:abstractNumId="99">
    <w:nsid w:val="541C8153"/>
    <w:multiLevelType w:val="hybridMultilevel"/>
    <w:lvl w:ilvl="0">
      <w:lvlJc w:val="left"/>
      <w:lvlText w:val="%1."/>
      <w:numFmt w:val="lowerRoman"/>
      <w:start w:val="11"/>
    </w:lvl>
  </w:abstractNum>
  <w:abstractNum w:abstractNumId="100">
    <w:nsid w:val="67906F60"/>
    <w:multiLevelType w:val="hybridMultilevel"/>
    <w:lvl w:ilvl="0">
      <w:lvlJc w:val="left"/>
      <w:lvlText w:val="%1"/>
      <w:numFmt w:val="lowerRoman"/>
      <w:start w:val="1"/>
    </w:lvl>
    <w:lvl w:ilvl="1">
      <w:lvlJc w:val="left"/>
      <w:lvlText w:val="%2."/>
      <w:numFmt w:val="lowerRoman"/>
      <w:start w:val="12"/>
    </w:lvl>
  </w:abstractNum>
  <w:abstractNum w:abstractNumId="101">
    <w:nsid w:val="10DB9DAA"/>
    <w:multiLevelType w:val="hybridMultilevel"/>
    <w:lvl w:ilvl="0">
      <w:lvlJc w:val="left"/>
      <w:lvlText w:val="(%1)"/>
      <w:numFmt w:val="lowerRoman"/>
      <w:start w:val="3"/>
    </w:lvl>
    <w:lvl w:ilvl="1">
      <w:lvlJc w:val="left"/>
      <w:lvlText w:val="%2"/>
      <w:numFmt w:val="lowerRoman"/>
      <w:start w:val="1"/>
    </w:lvl>
  </w:abstractNum>
  <w:abstractNum w:abstractNumId="102">
    <w:nsid w:val="697D2D2"/>
    <w:multiLevelType w:val="hybridMultilevel"/>
    <w:lvl w:ilvl="0">
      <w:lvlJc w:val="left"/>
      <w:lvlText w:val="(%1)"/>
      <w:numFmt w:val="lowerLetter"/>
      <w:start w:val="3"/>
    </w:lvl>
  </w:abstractNum>
  <w:abstractNum w:abstractNumId="103">
    <w:nsid w:val="6D68AB2"/>
    <w:multiLevelType w:val="hybridMultilevel"/>
    <w:lvl w:ilvl="0">
      <w:lvlJc w:val="left"/>
      <w:lvlText w:val="(%1)"/>
      <w:numFmt w:val="lowerLetter"/>
      <w:start w:val="6"/>
    </w:lvl>
  </w:abstractNum>
  <w:abstractNum w:abstractNumId="104">
    <w:nsid w:val="3A966CD0"/>
    <w:multiLevelType w:val="hybridMultilevel"/>
    <w:lvl w:ilvl="0">
      <w:lvlJc w:val="left"/>
      <w:lvlText w:val="(%1)"/>
      <w:numFmt w:val="lowerLetter"/>
      <w:start w:val="1"/>
    </w:lvl>
  </w:abstractNum>
  <w:abstractNum w:abstractNumId="105">
    <w:nsid w:val="63F37E85"/>
    <w:multiLevelType w:val="hybridMultilevel"/>
    <w:lvl w:ilvl="0">
      <w:lvlJc w:val="left"/>
      <w:lvlText w:val="(%1)"/>
      <w:numFmt w:val="lowerLetter"/>
      <w:start w:val="2"/>
    </w:lvl>
  </w:abstractNum>
  <w:abstractNum w:abstractNumId="106">
    <w:nsid w:val="5895F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7">
    <w:nsid w:val="38A5D05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5"/>
    </w:lvl>
  </w:abstractNum>
  <w:abstractNum w:abstractNumId="108">
    <w:nsid w:val="F3F09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09">
    <w:nsid w:val="4B79373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110">
    <w:nsid w:val="4A10B4E8"/>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11">
    <w:nsid w:val="43D3BCD4"/>
    <w:multiLevelType w:val="hybridMultilevel"/>
    <w:lvl w:ilvl="0">
      <w:lvlJc w:val="left"/>
      <w:lvlText w:val="%1"/>
      <w:numFmt w:val="lowerLetter"/>
      <w:start w:val="1"/>
    </w:lvl>
    <w:lvl w:ilvl="1">
      <w:lvlJc w:val="left"/>
      <w:lvlText w:val="(%2)"/>
      <w:numFmt w:val="lowerLetter"/>
      <w:start w:val="4"/>
    </w:lvl>
  </w:abstractNum>
  <w:abstractNum w:abstractNumId="112">
    <w:nsid w:val="4C2A7166"/>
    <w:multiLevelType w:val="hybridMultilevel"/>
    <w:lvl w:ilvl="0">
      <w:lvlJc w:val="left"/>
      <w:lvlText w:val="(%1)"/>
      <w:numFmt w:val="lowerLetter"/>
      <w:start w:val="24"/>
    </w:lvl>
    <w:lvl w:ilvl="1">
      <w:lvlJc w:val="left"/>
      <w:lvlText w:val="(%2)"/>
      <w:numFmt w:val="lowerLetter"/>
      <w:start w:val="5"/>
    </w:lvl>
  </w:abstractNum>
  <w:abstractNum w:abstractNumId="113">
    <w:nsid w:val="2E534A82"/>
    <w:multiLevelType w:val="hybridMultilevel"/>
    <w:lvl w:ilvl="0">
      <w:lvlJc w:val="left"/>
      <w:lvlText w:val="(%1)"/>
      <w:numFmt w:val="lowerLetter"/>
      <w:start w:val="6"/>
    </w:lvl>
  </w:abstractNum>
  <w:abstractNum w:abstractNumId="114">
    <w:nsid w:val="26F2D364"/>
    <w:multiLevelType w:val="hybridMultilevel"/>
    <w:lvl w:ilvl="0">
      <w:lvlJc w:val="left"/>
      <w:lvlText w:val="(%1)"/>
      <w:numFmt w:val="lowerLetter"/>
      <w:start w:val="1"/>
    </w:lvl>
  </w:abstractNum>
  <w:abstractNum w:abstractNumId="115">
    <w:nsid w:val="71C1AF98"/>
    <w:multiLevelType w:val="hybridMultilevel"/>
    <w:lvl w:ilvl="0">
      <w:lvlJc w:val="left"/>
      <w:lvlText w:val="(%1)"/>
      <w:numFmt w:val="lowerLetter"/>
      <w:start w:val="3"/>
    </w:lvl>
  </w:abstractNum>
  <w:abstractNum w:abstractNumId="116">
    <w:nsid w:val="3D00B9D9"/>
    <w:multiLevelType w:val="hybridMultilevel"/>
    <w:lvl w:ilvl="0">
      <w:lvlJc w:val="left"/>
      <w:lvlText w:val="%1"/>
      <w:numFmt w:val="lowerLetter"/>
      <w:start w:val="1"/>
    </w:lvl>
    <w:lvl w:ilvl="1">
      <w:lvlJc w:val="left"/>
      <w:lvlText w:val="(%2)"/>
      <w:numFmt w:val="lowerLetter"/>
      <w:start w:val="1"/>
    </w:lvl>
  </w:abstractNum>
  <w:abstractNum w:abstractNumId="117">
    <w:nsid w:val="15BCABA8"/>
    <w:multiLevelType w:val="hybridMultilevel"/>
    <w:lvl w:ilvl="0">
      <w:lvlJc w:val="left"/>
      <w:lvlText w:val="(%1)"/>
      <w:numFmt w:val="lowerLetter"/>
      <w:start w:val="35"/>
    </w:lvl>
    <w:lvl w:ilvl="1">
      <w:lvlJc w:val="left"/>
      <w:lvlText w:val="%2"/>
      <w:numFmt w:val="lowerLetter"/>
      <w:start w:val="1"/>
    </w:lvl>
  </w:abstractNum>
  <w:abstractNum w:abstractNumId="118">
    <w:nsid w:val="4E0B9A87"/>
    <w:multiLevelType w:val="hybridMultilevel"/>
    <w:lvl w:ilvl="0">
      <w:lvlJc w:val="left"/>
      <w:lvlText w:val="(%1)"/>
      <w:numFmt w:val="lowerLetter"/>
      <w:start w:val="2"/>
    </w:lvl>
    <w:lvl w:ilvl="1">
      <w:lvlJc w:val="left"/>
      <w:lvlText w:val="(%2)"/>
      <w:numFmt w:val="lowerRoman"/>
      <w:start w:val="1"/>
    </w:lvl>
  </w:abstractNum>
  <w:abstractNum w:abstractNumId="119">
    <w:nsid w:val="434BAE75"/>
    <w:multiLevelType w:val="hybridMultilevel"/>
    <w:lvl w:ilvl="0">
      <w:lvlJc w:val="left"/>
      <w:lvlText w:val="(%1)"/>
      <w:numFmt w:val="lowerLetter"/>
      <w:start w:val="5"/>
    </w:lvl>
  </w:abstractNum>
  <w:abstractNum w:abstractNumId="120">
    <w:nsid w:val="4F38F265"/>
    <w:multiLevelType w:val="hybridMultilevel"/>
    <w:lvl w:ilvl="0">
      <w:lvlJc w:val="left"/>
      <w:lvlText w:val="(%1)"/>
      <w:numFmt w:val="lowerLetter"/>
      <w:start w:val="6"/>
    </w:lvl>
    <w:lvl w:ilvl="1">
      <w:lvlJc w:val="left"/>
      <w:lvlText w:val="(%2)"/>
      <w:numFmt w:val="lowerRoman"/>
      <w:start w:val="1"/>
    </w:lvl>
  </w:abstractNum>
  <w:abstractNum w:abstractNumId="121">
    <w:nsid w:val="4C502870"/>
    <w:multiLevelType w:val="hybridMultilevel"/>
    <w:lvl w:ilvl="0">
      <w:lvlJc w:val="left"/>
      <w:lvlText w:val="(%1)"/>
      <w:numFmt w:val="lowerRoman"/>
      <w:start w:val="12"/>
    </w:lvl>
  </w:abstractNum>
  <w:abstractNum w:abstractNumId="122">
    <w:nsid w:val="1DE8725A"/>
    <w:multiLevelType w:val="hybridMultilevel"/>
    <w:lvl w:ilvl="0">
      <w:lvlJc w:val="left"/>
      <w:lvlText w:val="(%1)"/>
      <w:numFmt w:val="lowerLetter"/>
      <w:start w:val="7"/>
    </w:lvl>
  </w:abstractNum>
  <w:abstractNum w:abstractNumId="123">
    <w:nsid w:val="6A37288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24">
    <w:nsid w:val="8F8B73F"/>
    <w:multiLevelType w:val="hybridMultilevel"/>
    <w:lvl w:ilvl="0">
      <w:lvlJc w:val="left"/>
      <w:lvlText w:val="(%1)"/>
      <w:numFmt w:val="decimal"/>
      <w:start w:val="3"/>
    </w:lvl>
    <w:lvl w:ilvl="1">
      <w:lvlJc w:val="left"/>
      <w:lvlText w:val="(%2)"/>
      <w:numFmt w:val="lowerLetter"/>
      <w:start w:val="9"/>
    </w:lvl>
    <w:lvl w:ilvl="2">
      <w:lvlJc w:val="left"/>
      <w:lvlText w:val="(%3)"/>
      <w:numFmt w:val="lowerRoman"/>
      <w:start w:val="1"/>
    </w:lvl>
  </w:abstractNum>
  <w:abstractNum w:abstractNumId="125">
    <w:nsid w:val="CA6B462"/>
    <w:multiLevelType w:val="hybridMultilevel"/>
    <w:lvl w:ilvl="0">
      <w:lvlJc w:val="left"/>
      <w:lvlText w:val="(%1)"/>
      <w:numFmt w:val="lowerRoman"/>
      <w:start w:val="5"/>
    </w:lvl>
  </w:abstractNum>
  <w:abstractNum w:abstractNumId="126">
    <w:nsid w:val="763CB680"/>
    <w:multiLevelType w:val="hybridMultilevel"/>
    <w:lvl w:ilvl="0">
      <w:lvlJc w:val="left"/>
      <w:lvlText w:val="(%1)"/>
      <w:numFmt w:val="lowerLetter"/>
      <w:start w:val="10"/>
    </w:lvl>
    <w:lvl w:ilvl="1">
      <w:lvlJc w:val="left"/>
      <w:lvlText w:val="(%2)"/>
      <w:numFmt w:val="lowerRoman"/>
      <w:start w:val="1"/>
    </w:lvl>
  </w:abstractNum>
  <w:abstractNum w:abstractNumId="127">
    <w:nsid w:val="15B7132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28">
    <w:nsid w:val="3DA97044"/>
    <w:multiLevelType w:val="hybridMultilevel"/>
    <w:lvl w:ilvl="0">
      <w:lvlJc w:val="left"/>
      <w:lvlText w:val="%1"/>
      <w:numFmt w:val="lowerRoman"/>
      <w:start w:val="1"/>
    </w:lvl>
    <w:lvl w:ilvl="1">
      <w:lvlJc w:val="left"/>
      <w:lvlText w:val="(%2)"/>
      <w:numFmt w:val="lowerLetter"/>
      <w:start w:val="11"/>
    </w:lvl>
    <w:lvl w:ilvl="2">
      <w:lvlJc w:val="left"/>
      <w:lvlText w:val="%3"/>
      <w:numFmt w:val="lowerRoman"/>
      <w:start w:val="1"/>
    </w:lvl>
  </w:abstractNum>
  <w:abstractNum w:abstractNumId="129">
    <w:nsid w:val="1CDCE2D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30">
    <w:nsid w:val="69D3947C"/>
    <w:multiLevelType w:val="hybridMultilevel"/>
    <w:lvl w:ilvl="0">
      <w:lvlJc w:val="left"/>
      <w:lvlText w:val="(%1)"/>
      <w:numFmt w:val="lowerLetter"/>
      <w:start w:val="12"/>
    </w:lvl>
    <w:lvl w:ilvl="1">
      <w:lvlJc w:val="left"/>
      <w:lvlText w:val="(%2)"/>
      <w:numFmt w:val="lowerRoman"/>
      <w:start w:val="1"/>
    </w:lvl>
  </w:abstractNum>
  <w:abstractNum w:abstractNumId="131">
    <w:nsid w:val="2539DFA5"/>
    <w:multiLevelType w:val="hybridMultilevel"/>
    <w:lvl w:ilvl="0">
      <w:lvlJc w:val="left"/>
      <w:lvlText w:val="(%1)"/>
      <w:numFmt w:val="lowerLetter"/>
      <w:start w:val="13"/>
    </w:lvl>
  </w:abstractNum>
  <w:abstractNum w:abstractNumId="132">
    <w:nsid w:val="2DB88089"/>
    <w:multiLevelType w:val="hybridMultilevel"/>
    <w:lvl w:ilvl="0">
      <w:lvlJc w:val="left"/>
      <w:lvlText w:val="(%1)"/>
      <w:numFmt w:val="lowerLetter"/>
      <w:start w:val="1"/>
    </w:lvl>
  </w:abstractNum>
  <w:abstractNum w:abstractNumId="133">
    <w:nsid w:val="706B674E"/>
    <w:multiLevelType w:val="hybridMultilevel"/>
    <w:lvl w:ilvl="0">
      <w:lvlJc w:val="left"/>
      <w:lvlText w:val="(%1)"/>
      <w:numFmt w:val="lowerLetter"/>
      <w:start w:val="2"/>
    </w:lvl>
    <w:lvl w:ilvl="1">
      <w:lvlJc w:val="left"/>
      <w:lvlText w:val="(%2)"/>
      <w:numFmt w:val="lowerRoman"/>
      <w:start w:val="1"/>
    </w:lvl>
  </w:abstractNum>
  <w:abstractNum w:abstractNumId="134">
    <w:nsid w:val="2C106A57"/>
    <w:multiLevelType w:val="hybridMultilevel"/>
    <w:lvl w:ilvl="0">
      <w:lvlJc w:val="left"/>
      <w:lvlText w:val="(%1)"/>
      <w:numFmt w:val="upperLetter"/>
      <w:start w:val="3"/>
    </w:lvl>
    <w:lvl w:ilvl="1">
      <w:lvlJc w:val="left"/>
      <w:lvlText w:val="(%2)"/>
      <w:numFmt w:val="lowerLetter"/>
      <w:start w:val="4"/>
    </w:lvl>
  </w:abstractNum>
  <w:abstractNum w:abstractNumId="135">
    <w:nsid w:val="684EED59"/>
    <w:multiLevelType w:val="hybridMultilevel"/>
    <w:lvl w:ilvl="0">
      <w:lvlJc w:val="left"/>
      <w:lvlText w:val="(%1)"/>
      <w:numFmt w:val="lowerLetter"/>
      <w:start w:val="5"/>
    </w:lvl>
    <w:lvl w:ilvl="1">
      <w:lvlJc w:val="left"/>
      <w:lvlText w:val="(%2)"/>
      <w:numFmt w:val="lowerRoman"/>
      <w:start w:val="1"/>
    </w:lvl>
  </w:abstractNum>
  <w:abstractNum w:abstractNumId="136">
    <w:nsid w:val="545EE5D3"/>
    <w:multiLevelType w:val="hybridMultilevel"/>
    <w:lvl w:ilvl="0">
      <w:lvlJc w:val="left"/>
      <w:lvlText w:val="(%1)"/>
      <w:numFmt w:val="lowerRoman"/>
      <w:start w:val="3"/>
    </w:lvl>
  </w:abstractNum>
  <w:abstractNum w:abstractNumId="137">
    <w:nsid w:val="4A66051"/>
    <w:multiLevelType w:val="hybridMultilevel"/>
    <w:lvl w:ilvl="0">
      <w:lvlJc w:val="left"/>
      <w:lvlText w:val="(%1)"/>
      <w:numFmt w:val="lowerRoman"/>
      <w:start w:val="13"/>
    </w:lvl>
  </w:abstractNum>
  <w:abstractNum w:abstractNumId="138">
    <w:nsid w:val="20F4BDAD"/>
    <w:multiLevelType w:val="hybridMultilevel"/>
    <w:lvl w:ilvl="0">
      <w:lvlJc w:val="left"/>
      <w:lvlText w:val="(%1)"/>
      <w:numFmt w:val="lowerLetter"/>
      <w:start w:val="7"/>
    </w:lvl>
  </w:abstractNum>
  <w:abstractNum w:abstractNumId="139">
    <w:nsid w:val="639DEFA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40">
    <w:nsid w:val="501F9786"/>
    <w:multiLevelType w:val="hybridMultilevel"/>
    <w:lvl w:ilvl="0">
      <w:lvlJc w:val="left"/>
      <w:lvlText w:val="(%1)"/>
      <w:numFmt w:val="decimal"/>
      <w:start w:val="3"/>
    </w:lvl>
    <w:lvl w:ilvl="1">
      <w:lvlJc w:val="left"/>
      <w:lvlText w:val="(%2)"/>
      <w:numFmt w:val="lowerLetter"/>
      <w:start w:val="9"/>
    </w:lvl>
    <w:lvl w:ilvl="2">
      <w:lvlJc w:val="left"/>
      <w:lvlText w:val="(%3)"/>
      <w:numFmt w:val="lowerRoman"/>
      <w:start w:val="1"/>
    </w:lvl>
  </w:abstractNum>
  <w:abstractNum w:abstractNumId="141">
    <w:nsid w:val="6B057295"/>
    <w:multiLevelType w:val="hybridMultilevel"/>
    <w:lvl w:ilvl="0">
      <w:lvlJc w:val="left"/>
      <w:lvlText w:val="(%1)"/>
      <w:numFmt w:val="lowerRoman"/>
      <w:start w:val="4"/>
    </w:lvl>
  </w:abstractNum>
  <w:abstractNum w:abstractNumId="142">
    <w:nsid w:val="2771AC80"/>
    <w:multiLevelType w:val="hybridMultilevel"/>
    <w:lvl w:ilvl="0">
      <w:lvlJc w:val="left"/>
      <w:lvlText w:val="(%1)"/>
      <w:numFmt w:val="lowerLetter"/>
      <w:start w:val="10"/>
    </w:lvl>
    <w:lvl w:ilvl="1">
      <w:lvlJc w:val="left"/>
      <w:lvlText w:val="(%2)"/>
      <w:numFmt w:val="lowerLetter"/>
      <w:start w:val="9"/>
    </w:lvl>
  </w:abstractNum>
  <w:abstractNum w:abstractNumId="143">
    <w:nsid w:val="1C4A08EC"/>
    <w:multiLevelType w:val="hybridMultilevel"/>
    <w:lvl w:ilvl="0">
      <w:lvlJc w:val="left"/>
      <w:lvlText w:val="(%1)"/>
      <w:numFmt w:val="lowerRoman"/>
      <w:start w:val="2"/>
    </w:lvl>
  </w:abstractNum>
  <w:abstractNum w:abstractNumId="144">
    <w:nsid w:val="1958BD17"/>
    <w:multiLevelType w:val="hybridMultilevel"/>
    <w:lvl w:ilvl="0">
      <w:lvlJc w:val="left"/>
      <w:lvlText w:val="%1"/>
      <w:numFmt w:val="lowerLetter"/>
      <w:start w:val="1"/>
    </w:lvl>
    <w:lvl w:ilvl="1">
      <w:lvlJc w:val="left"/>
      <w:lvlText w:val="(%2)"/>
      <w:numFmt w:val="lowerRoman"/>
      <w:start w:val="12"/>
    </w:lvl>
  </w:abstractNum>
  <w:abstractNum w:abstractNumId="145">
    <w:nsid w:val="4E647FE4"/>
    <w:multiLevelType w:val="hybridMultilevel"/>
    <w:lvl w:ilvl="0">
      <w:lvlJc w:val="left"/>
      <w:lvlText w:val="(%1)"/>
      <w:numFmt w:val="lowerLetter"/>
      <w:start w:val="11"/>
    </w:lvl>
    <w:lvl w:ilvl="1">
      <w:lvlJc w:val="left"/>
      <w:lvlText w:val="(%2)"/>
      <w:numFmt w:val="lowerRoman"/>
      <w:start w:val="1"/>
    </w:lvl>
  </w:abstractNum>
  <w:abstractNum w:abstractNumId="146">
    <w:nsid w:val="E0BB885"/>
    <w:multiLevelType w:val="hybridMultilevel"/>
    <w:lvl w:ilvl="0">
      <w:lvlJc w:val="left"/>
      <w:lvlText w:val="(%1)"/>
      <w:numFmt w:val="lowerLetter"/>
      <w:start w:val="13"/>
    </w:lvl>
  </w:abstractNum>
  <w:abstractNum w:abstractNumId="147">
    <w:nsid w:val="565976F1"/>
    <w:multiLevelType w:val="hybridMultilevel"/>
    <w:lvl w:ilvl="0">
      <w:lvlJc w:val="left"/>
      <w:lvlText w:val="(%1)"/>
      <w:numFmt w:val="lowerLetter"/>
      <w:start w:val="15"/>
    </w:lvl>
  </w:abstractNum>
  <w:abstractNum w:abstractNumId="148">
    <w:nsid w:val="64212B8C"/>
    <w:multiLevelType w:val="hybridMultilevel"/>
    <w:lvl w:ilvl="0">
      <w:lvlJc w:val="left"/>
      <w:lvlText w:val="(%1)"/>
      <w:numFmt w:val="lowerLetter"/>
      <w:start w:val="1"/>
    </w:lvl>
  </w:abstractNum>
  <w:abstractNum w:abstractNumId="149">
    <w:nsid w:val="5C17530C"/>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50">
    <w:nsid w:val="19A52566"/>
    <w:multiLevelType w:val="hybridMultilevel"/>
    <w:lvl w:ilvl="0">
      <w:lvlJc w:val="left"/>
      <w:lvlText w:val="%1"/>
      <w:numFmt w:val="upperLetter"/>
      <w:start w:val="1"/>
    </w:lvl>
    <w:lvl w:ilvl="1">
      <w:lvlJc w:val="left"/>
      <w:lvlText w:val="(%2)"/>
      <w:numFmt w:val="lowerLetter"/>
      <w:start w:val="3"/>
    </w:lvl>
  </w:abstractNum>
  <w:abstractNum w:abstractNumId="151">
    <w:nsid w:val="335A1DF1"/>
    <w:multiLevelType w:val="hybridMultilevel"/>
    <w:lvl w:ilvl="0">
      <w:lvlJc w:val="left"/>
      <w:lvlText w:val="(%1)"/>
      <w:numFmt w:val="upperLetter"/>
      <w:start w:val="3"/>
    </w:lvl>
    <w:lvl w:ilvl="1">
      <w:lvlJc w:val="left"/>
      <w:lvlText w:val="(%2)"/>
      <w:numFmt w:val="lowerLetter"/>
      <w:start w:val="4"/>
    </w:lvl>
  </w:abstractNum>
  <w:abstractNum w:abstractNumId="152">
    <w:nsid w:val="28677B7C"/>
    <w:multiLevelType w:val="hybridMultilevel"/>
    <w:lvl w:ilvl="0">
      <w:lvlJc w:val="left"/>
      <w:lvlText w:val="(%1)"/>
      <w:numFmt w:val="lowerLetter"/>
      <w:start w:val="6"/>
    </w:lvl>
    <w:lvl w:ilvl="1">
      <w:lvlJc w:val="left"/>
      <w:lvlText w:val="(%2)"/>
      <w:numFmt w:val="lowerRoman"/>
      <w:start w:val="1"/>
    </w:lvl>
  </w:abstractNum>
  <w:abstractNum w:abstractNumId="153">
    <w:nsid w:val="378D97C0"/>
    <w:multiLevelType w:val="hybridMultilevel"/>
    <w:lvl w:ilvl="0">
      <w:lvlJc w:val="left"/>
      <w:lvlText w:val="(%1)"/>
      <w:numFmt w:val="lowerRoman"/>
      <w:start w:val="5"/>
    </w:lvl>
  </w:abstractNum>
  <w:abstractNum w:abstractNumId="154">
    <w:nsid w:val="1D91467C"/>
    <w:multiLevelType w:val="hybridMultilevel"/>
    <w:lvl w:ilvl="0">
      <w:lvlJc w:val="left"/>
      <w:lvlText w:val="(%1)"/>
      <w:numFmt w:val="lowerLetter"/>
      <w:start w:val="7"/>
    </w:lvl>
  </w:abstractNum>
  <w:abstractNum w:abstractNumId="155">
    <w:nsid w:val="316032BB"/>
    <w:multiLevelType w:val="hybridMultilevel"/>
    <w:lvl w:ilvl="0">
      <w:lvlJc w:val="left"/>
      <w:lvlText w:val="(%1)"/>
      <w:numFmt w:val="lowerRoman"/>
      <w:start w:val="1"/>
    </w:lvl>
    <w:lvl w:ilvl="1">
      <w:lvlJc w:val="left"/>
      <w:lvlText w:val="(%2)"/>
      <w:numFmt w:val="lowerRoman"/>
      <w:start w:val="1"/>
    </w:lvl>
  </w:abstractNum>
  <w:abstractNum w:abstractNumId="156">
    <w:nsid w:val="44344C22"/>
    <w:multiLevelType w:val="hybridMultilevel"/>
    <w:lvl w:ilvl="0">
      <w:lvlJc w:val="left"/>
      <w:lvlText w:val="(%1)"/>
      <w:numFmt w:val="lowerRoman"/>
      <w:start w:val="8"/>
    </w:lvl>
  </w:abstractNum>
  <w:abstractNum w:abstractNumId="157">
    <w:nsid w:val="13CDFCFC"/>
    <w:multiLevelType w:val="hybridMultilevel"/>
    <w:lvl w:ilvl="0">
      <w:lvlJc w:val="left"/>
      <w:lvlText w:val="(%1)"/>
      <w:numFmt w:val="lowerLetter"/>
      <w:start w:val="10"/>
    </w:lvl>
    <w:lvl w:ilvl="1">
      <w:lvlJc w:val="left"/>
      <w:lvlText w:val="(%2)"/>
      <w:numFmt w:val="lowerRoman"/>
      <w:start w:val="1"/>
    </w:lvl>
  </w:abstractNum>
  <w:abstractNum w:abstractNumId="158">
    <w:nsid w:val="471745E4"/>
    <w:multiLevelType w:val="hybridMultilevel"/>
    <w:lvl w:ilvl="0">
      <w:lvlJc w:val="left"/>
      <w:lvlText w:val="%1"/>
      <w:numFmt w:val="lowerLetter"/>
      <w:start w:val="1"/>
    </w:lvl>
    <w:lvl w:ilvl="1">
      <w:lvlJc w:val="left"/>
      <w:lvlText w:val="(%2)"/>
      <w:numFmt w:val="lowerRoman"/>
      <w:start w:val="9"/>
    </w:lvl>
  </w:abstractNum>
  <w:abstractNum w:abstractNumId="159">
    <w:nsid w:val="1DDBC66"/>
    <w:multiLevelType w:val="hybridMultilevel"/>
    <w:lvl w:ilvl="0">
      <w:lvlJc w:val="left"/>
      <w:lvlText w:val="(%1)"/>
      <w:numFmt w:val="lowerLetter"/>
      <w:start w:val="11"/>
    </w:lvl>
    <w:lvl w:ilvl="1">
      <w:lvlJc w:val="left"/>
      <w:lvlText w:val="(%2)"/>
      <w:numFmt w:val="lowerRoman"/>
      <w:start w:val="1"/>
    </w:lvl>
  </w:abstractNum>
  <w:abstractNum w:abstractNumId="160">
    <w:nsid w:val="30AADFDA"/>
    <w:multiLevelType w:val="hybridMultilevel"/>
    <w:lvl w:ilvl="0">
      <w:lvlJc w:val="left"/>
      <w:lvlText w:val="(%1)"/>
      <w:numFmt w:val="lowerRoman"/>
      <w:start w:val="2"/>
    </w:lvl>
  </w:abstractNum>
  <w:abstractNum w:abstractNumId="161">
    <w:nsid w:val="30EADA61"/>
    <w:multiLevelType w:val="hybridMultilevel"/>
    <w:lvl w:ilvl="0">
      <w:lvlJc w:val="left"/>
      <w:lvlText w:val="(%1)"/>
      <w:numFmt w:val="lowerLetter"/>
      <w:start w:val="13"/>
    </w:lvl>
  </w:abstractNum>
  <w:abstractNum w:abstractNumId="162">
    <w:nsid w:val="27179C0B"/>
    <w:multiLevelType w:val="hybridMultilevel"/>
    <w:lvl w:ilvl="0">
      <w:lvlJc w:val="left"/>
      <w:lvlText w:val="(%1)"/>
      <w:numFmt w:val="lowerLetter"/>
      <w:start w:val="15"/>
    </w:lvl>
  </w:abstractNum>
  <w:abstractNum w:abstractNumId="163">
    <w:nsid w:val="5E636063"/>
    <w:multiLevelType w:val="hybridMultilevel"/>
    <w:lvl w:ilvl="0">
      <w:lvlJc w:val="left"/>
      <w:lvlText w:val="(%1)"/>
      <w:numFmt w:val="lowerLetter"/>
      <w:start w:val="1"/>
    </w:lvl>
  </w:abstractNum>
  <w:abstractNum w:abstractNumId="164">
    <w:nsid w:val="215641AF"/>
    <w:multiLevelType w:val="hybridMultilevel"/>
    <w:lvl w:ilvl="0">
      <w:lvlJc w:val="left"/>
      <w:lvlText w:val="(%1)"/>
      <w:numFmt w:val="lowerLetter"/>
      <w:start w:val="2"/>
    </w:lvl>
    <w:lvl w:ilvl="1">
      <w:lvlJc w:val="left"/>
      <w:lvlText w:val="(%2)"/>
      <w:numFmt w:val="lowerRoman"/>
      <w:start w:val="1"/>
    </w:lvl>
  </w:abstractNum>
  <w:abstractNum w:abstractNumId="165">
    <w:nsid w:val="53280662"/>
    <w:multiLevelType w:val="hybridMultilevel"/>
    <w:lvl w:ilvl="0">
      <w:lvlJc w:val="left"/>
      <w:lvlText w:val="%1"/>
      <w:numFmt w:val="lowerLetter"/>
      <w:start w:val="1"/>
    </w:lvl>
    <w:lvl w:ilvl="1">
      <w:lvlJc w:val="left"/>
      <w:lvlText w:val="(%2)"/>
      <w:numFmt w:val="lowerLetter"/>
      <w:start w:val="61"/>
    </w:lvl>
  </w:abstractNum>
  <w:abstractNum w:abstractNumId="166">
    <w:nsid w:val="46B24DBC"/>
    <w:multiLevelType w:val="hybridMultilevel"/>
    <w:lvl w:ilvl="0">
      <w:lvlJc w:val="left"/>
      <w:lvlText w:val="(%1)"/>
      <w:numFmt w:val="lowerLetter"/>
      <w:start w:val="3"/>
    </w:lvl>
    <w:lvl w:ilvl="1">
      <w:lvlJc w:val="left"/>
      <w:lvlText w:val="%2"/>
      <w:numFmt w:val="lowerLetter"/>
      <w:start w:val="1"/>
    </w:lvl>
  </w:abstractNum>
  <w:abstractNum w:abstractNumId="167">
    <w:nsid w:val="75B52783"/>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168">
    <w:nsid w:val="57CE66B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69">
    <w:nsid w:val="67A70B69"/>
    <w:multiLevelType w:val="hybridMultilevel"/>
    <w:lvl w:ilvl="0">
      <w:lvlJc w:val="left"/>
      <w:lvlText w:val="(%1)"/>
      <w:numFmt w:val="lowerLetter"/>
      <w:start w:val="5"/>
    </w:lvl>
  </w:abstractNum>
  <w:abstractNum w:abstractNumId="170">
    <w:nsid w:val="5953172F"/>
    <w:multiLevelType w:val="hybridMultilevel"/>
    <w:lvl w:ilvl="0">
      <w:lvlJc w:val="left"/>
      <w:lvlText w:val="%1"/>
      <w:numFmt w:val="lowerLetter"/>
      <w:start w:val="1"/>
    </w:lvl>
    <w:lvl w:ilvl="1">
      <w:lvlJc w:val="left"/>
      <w:lvlText w:val="(%2)"/>
      <w:numFmt w:val="lowerLetter"/>
      <w:start w:val="1"/>
    </w:lvl>
  </w:abstractNum>
  <w:abstractNum w:abstractNumId="171">
    <w:nsid w:val="27EDFE3A"/>
    <w:multiLevelType w:val="hybridMultilevel"/>
    <w:lvl w:ilvl="0">
      <w:lvlJc w:val="left"/>
      <w:lvlText w:val="(%1)"/>
      <w:numFmt w:val="lowerLetter"/>
      <w:start w:val="9"/>
    </w:lvl>
    <w:lvl w:ilvl="1">
      <w:lvlJc w:val="left"/>
      <w:lvlText w:val="%2"/>
      <w:numFmt w:val="lowerLetter"/>
      <w:start w:val="1"/>
    </w:lvl>
  </w:abstractNum>
  <w:abstractNum w:abstractNumId="172">
    <w:nsid w:val="52AC7DFF"/>
    <w:multiLevelType w:val="hybridMultilevel"/>
    <w:lvl w:ilvl="0">
      <w:lvlJc w:val="left"/>
      <w:lvlText w:val="(%1)"/>
      <w:numFmt w:val="lowerLetter"/>
      <w:start w:val="3"/>
    </w:lvl>
  </w:abstractNum>
  <w:abstractNum w:abstractNumId="173">
    <w:nsid w:val="C4C3AF"/>
    <w:multiLevelType w:val="hybridMultilevel"/>
    <w:lvl w:ilvl="0">
      <w:lvlJc w:val="left"/>
      <w:lvlText w:val="(%1)"/>
      <w:numFmt w:val="lowerLetter"/>
      <w:start w:val="1"/>
    </w:lvl>
  </w:abstractNum>
  <w:abstractNum w:abstractNumId="174">
    <w:nsid w:val="44380727"/>
    <w:multiLevelType w:val="hybridMultilevel"/>
    <w:lvl w:ilvl="0">
      <w:lvlJc w:val="left"/>
      <w:lvlText w:val="(%1)"/>
      <w:numFmt w:val="lowerLetter"/>
      <w:start w:val="2"/>
    </w:lvl>
    <w:lvl w:ilvl="1">
      <w:lvlJc w:val="left"/>
      <w:lvlText w:val="(%2)"/>
      <w:numFmt w:val="lowerRoman"/>
      <w:start w:val="1"/>
    </w:lvl>
  </w:abstractNum>
  <w:abstractNum w:abstractNumId="175">
    <w:nsid w:val="6C053B16"/>
    <w:multiLevelType w:val="hybridMultilevel"/>
    <w:lvl w:ilvl="0">
      <w:lvlJc w:val="left"/>
      <w:lvlText w:val="(%1)"/>
      <w:numFmt w:val="lowerLetter"/>
      <w:start w:val="3"/>
    </w:lvl>
  </w:abstractNum>
  <w:abstractNum w:abstractNumId="176">
    <w:nsid w:val="4F294393"/>
    <w:multiLevelType w:val="hybridMultilevel"/>
    <w:lvl w:ilvl="0">
      <w:lvlJc w:val="left"/>
      <w:lvlText w:val="(%1)"/>
      <w:numFmt w:val="lowerLetter"/>
      <w:start w:val="6"/>
    </w:lvl>
  </w:abstractNum>
  <w:abstractNum w:abstractNumId="177">
    <w:nsid w:val="5243BFAC"/>
    <w:multiLevelType w:val="hybridMultilevel"/>
    <w:lvl w:ilvl="0">
      <w:lvlJc w:val="left"/>
      <w:lvlText w:val="(%1)"/>
      <w:numFmt w:val="lowerLetter"/>
      <w:start w:val="1"/>
    </w:lvl>
  </w:abstractNum>
  <w:abstractNum w:abstractNumId="178">
    <w:nsid w:val="425EB207"/>
    <w:multiLevelType w:val="hybridMultilevel"/>
    <w:lvl w:ilvl="0">
      <w:lvlJc w:val="left"/>
      <w:lvlText w:val="(%1)"/>
      <w:numFmt w:val="lowerLetter"/>
      <w:start w:val="3"/>
    </w:lvl>
  </w:abstractNum>
  <w:abstractNum w:abstractNumId="179">
    <w:nsid w:val="334A6F1F"/>
    <w:multiLevelType w:val="hybridMultilevel"/>
    <w:lvl w:ilvl="0">
      <w:lvlJc w:val="left"/>
      <w:lvlText w:val="(%1)"/>
      <w:numFmt w:val="lowerLetter"/>
      <w:start w:val="6"/>
    </w:lvl>
  </w:abstractNum>
  <w:abstractNum w:abstractNumId="180">
    <w:nsid w:val="2E5B12B8"/>
    <w:multiLevelType w:val="hybridMultilevel"/>
    <w:lvl w:ilvl="0">
      <w:lvlJc w:val="left"/>
      <w:lvlText w:val="(%1)"/>
      <w:numFmt w:val="lowerLetter"/>
      <w:start w:val="1"/>
    </w:lvl>
  </w:abstractNum>
  <w:abstractNum w:abstractNumId="181">
    <w:nsid w:val="5C03D76D"/>
    <w:multiLevelType w:val="hybridMultilevel"/>
    <w:lvl w:ilvl="0">
      <w:lvlJc w:val="left"/>
      <w:lvlText w:val="(%1)"/>
      <w:numFmt w:val="lowerLetter"/>
      <w:start w:val="3"/>
    </w:lvl>
  </w:abstractNum>
  <w:abstractNum w:abstractNumId="182">
    <w:nsid w:val="66A48D11"/>
    <w:multiLevelType w:val="hybridMultilevel"/>
    <w:lvl w:ilvl="0">
      <w:lvlJc w:val="left"/>
      <w:lvlText w:val="%1."/>
      <w:numFmt w:val="decimal"/>
      <w:start w:val="3"/>
    </w:lvl>
  </w:abstractNum>
  <w:abstractNum w:abstractNumId="183">
    <w:nsid w:val="56C28E34"/>
    <w:multiLevelType w:val="hybridMultilevel"/>
    <w:lvl w:ilvl="0">
      <w:lvlJc w:val="left"/>
      <w:lvlText w:val="(%1)"/>
      <w:numFmt w:val="lowerLetter"/>
      <w:start w:val="1"/>
    </w:lvl>
  </w:abstractNum>
  <w:abstractNum w:abstractNumId="184">
    <w:nsid w:val="13916F2D"/>
    <w:multiLevelType w:val="hybridMultilevel"/>
    <w:lvl w:ilvl="0">
      <w:lvlJc w:val="left"/>
      <w:lvlText w:val="(%1)"/>
      <w:numFmt w:val="lowerLetter"/>
      <w:start w:val="2"/>
    </w:lvl>
  </w:abstractNum>
  <w:abstractNum w:abstractNumId="185">
    <w:nsid w:val="435D38D"/>
    <w:multiLevelType w:val="hybridMultilevel"/>
    <w:lvl w:ilvl="0">
      <w:lvlJc w:val="left"/>
      <w:lvlText w:val="%1."/>
      <w:numFmt w:val="decimal"/>
      <w:start w:val="4"/>
    </w:lvl>
  </w:abstractNum>
  <w:abstractNum w:abstractNumId="186">
    <w:nsid w:val="822C0EF"/>
    <w:multiLevelType w:val="hybridMultilevel"/>
    <w:lvl w:ilvl="0">
      <w:lvlJc w:val="left"/>
      <w:lvlText w:val="%1"/>
      <w:numFmt w:val="lowerLetter"/>
      <w:start w:val="1"/>
    </w:lvl>
    <w:lvl w:ilvl="1">
      <w:lvlJc w:val="left"/>
      <w:lvlText w:val="(%2)"/>
      <w:numFmt w:val="lowerLetter"/>
      <w:start w:val="1"/>
    </w:lvl>
  </w:abstractNum>
  <w:abstractNum w:abstractNumId="187">
    <w:nsid w:val="57C5BB4F"/>
    <w:multiLevelType w:val="hybridMultilevel"/>
    <w:lvl w:ilvl="0">
      <w:lvlJc w:val="left"/>
      <w:lvlText w:val="(%1)"/>
      <w:numFmt w:val="lowerLetter"/>
      <w:start w:val="9"/>
    </w:lvl>
    <w:lvl w:ilvl="1">
      <w:lvlJc w:val="left"/>
      <w:lvlText w:val="(%2)"/>
      <w:numFmt w:val="lowerLetter"/>
      <w:start w:val="4"/>
    </w:lvl>
  </w:abstractNum>
  <w:abstractNum w:abstractNumId="188">
    <w:nsid w:val="1803D089"/>
    <w:multiLevelType w:val="hybridMultilevel"/>
    <w:lvl w:ilvl="0">
      <w:lvlJc w:val="left"/>
      <w:lvlText w:val="(%1)"/>
      <w:numFmt w:val="lowerLetter"/>
      <w:start w:val="1"/>
    </w:lvl>
  </w:abstractNum>
  <w:abstractNum w:abstractNumId="189">
    <w:nsid w:val="4F3A06D4"/>
    <w:multiLevelType w:val="hybridMultilevel"/>
    <w:lvl w:ilvl="0">
      <w:lvlJc w:val="left"/>
      <w:lvlText w:val="(%1)"/>
      <w:numFmt w:val="lowerLetter"/>
      <w:start w:val="2"/>
    </w:lvl>
  </w:abstractNum>
  <w:abstractNum w:abstractNumId="190">
    <w:nsid w:val="59A377B6"/>
    <w:multiLevelType w:val="hybridMultilevel"/>
    <w:lvl w:ilvl="0">
      <w:lvlJc w:val="left"/>
      <w:lvlText w:val="%1"/>
      <w:numFmt w:val="lowerLetter"/>
      <w:start w:val="1"/>
    </w:lvl>
    <w:lvl w:ilvl="1">
      <w:lvlJc w:val="left"/>
      <w:lvlText w:val="(%2)"/>
      <w:numFmt w:val="lowerLetter"/>
      <w:start w:val="1"/>
    </w:lvl>
  </w:abstractNum>
  <w:abstractNum w:abstractNumId="191">
    <w:nsid w:val="48AEB063"/>
    <w:multiLevelType w:val="hybridMultilevel"/>
    <w:lvl w:ilvl="0">
      <w:lvlJc w:val="left"/>
      <w:lvlText w:val="(%1)"/>
      <w:numFmt w:val="lowerLetter"/>
      <w:start w:val="35"/>
    </w:lvl>
    <w:lvl w:ilvl="1">
      <w:lvlJc w:val="left"/>
      <w:lvlText w:val="%2"/>
      <w:numFmt w:val="lowerLetter"/>
      <w:start w:val="1"/>
    </w:lvl>
  </w:abstractNum>
  <w:abstractNum w:abstractNumId="192">
    <w:nsid w:val="24E135"/>
    <w:multiLevelType w:val="hybridMultilevel"/>
    <w:lvl w:ilvl="0">
      <w:lvlJc w:val="left"/>
      <w:lvlText w:val="(%1)"/>
      <w:numFmt w:val="lowerLetter"/>
      <w:start w:val="1"/>
    </w:lvl>
  </w:abstractNum>
  <w:abstractNum w:abstractNumId="193">
    <w:nsid w:val="BB13C1"/>
    <w:multiLevelType w:val="hybridMultilevel"/>
    <w:lvl w:ilvl="0">
      <w:lvlJc w:val="left"/>
      <w:lvlText w:val="%1"/>
      <w:numFmt w:val="lowerLetter"/>
      <w:start w:val="1"/>
    </w:lvl>
    <w:lvl w:ilvl="1">
      <w:lvlJc w:val="left"/>
      <w:lvlText w:val="(%2)"/>
      <w:numFmt w:val="lowerLetter"/>
      <w:start w:val="2"/>
    </w:lvl>
  </w:abstractNum>
  <w:abstractNum w:abstractNumId="194">
    <w:nsid w:val="271210C7"/>
    <w:multiLevelType w:val="hybridMultilevel"/>
    <w:lvl w:ilvl="0">
      <w:lvlJc w:val="left"/>
      <w:lvlText w:val="(%1)"/>
      <w:numFmt w:val="lowerLetter"/>
      <w:start w:val="35"/>
    </w:lvl>
    <w:lvl w:ilvl="1">
      <w:lvlJc w:val="left"/>
      <w:lvlText w:val="(%2)"/>
      <w:numFmt w:val="lowerLetter"/>
      <w:start w:val="9"/>
    </w:lvl>
  </w:abstractNum>
  <w:abstractNum w:abstractNumId="195">
    <w:nsid w:val="217B22E4"/>
    <w:multiLevelType w:val="hybridMultilevel"/>
    <w:lvl w:ilvl="0">
      <w:lvlJc w:val="left"/>
      <w:lvlText w:val="(%1)"/>
      <w:numFmt w:val="lowerLetter"/>
      <w:start w:val="1"/>
    </w:lvl>
  </w:abstractNum>
  <w:abstractNum w:abstractNumId="196">
    <w:nsid w:val="53E31A24"/>
    <w:multiLevelType w:val="hybridMultilevel"/>
    <w:lvl w:ilvl="0">
      <w:lvlJc w:val="left"/>
      <w:lvlText w:val="%1."/>
      <w:numFmt w:val="decimal"/>
      <w:start w:val="5"/>
    </w:lvl>
  </w:abstractNum>
  <w:abstractNum w:abstractNumId="197">
    <w:nsid w:val="6DC45E83"/>
    <w:multiLevelType w:val="hybridMultilevel"/>
    <w:lvl w:ilvl="0">
      <w:lvlJc w:val="left"/>
      <w:lvlText w:val="(%1)"/>
      <w:numFmt w:val="lowerLetter"/>
      <w:start w:val="1"/>
    </w:lvl>
  </w:abstractNum>
  <w:abstractNum w:abstractNumId="198">
    <w:nsid w:val="17304A67"/>
    <w:multiLevelType w:val="hybridMultilevel"/>
    <w:lvl w:ilvl="0">
      <w:lvlJc w:val="left"/>
      <w:lvlText w:val="%1"/>
      <w:numFmt w:val="lowerLetter"/>
      <w:start w:val="1"/>
    </w:lvl>
    <w:lvl w:ilvl="1">
      <w:lvlJc w:val="left"/>
      <w:lvlText w:val="(%2)"/>
      <w:numFmt w:val="lowerLetter"/>
      <w:start w:val="1"/>
    </w:lvl>
  </w:abstractNum>
  <w:abstractNum w:abstractNumId="199">
    <w:nsid w:val="2BB180D8"/>
    <w:multiLevelType w:val="hybridMultilevel"/>
    <w:lvl w:ilvl="0">
      <w:lvlJc w:val="left"/>
      <w:lvlText w:val="(%1)"/>
      <w:numFmt w:val="lowerLetter"/>
      <w:start w:val="9"/>
    </w:lvl>
    <w:lvl w:ilvl="1">
      <w:lvlJc w:val="left"/>
      <w:lvlText w:val="%2"/>
      <w:numFmt w:val="lowerLetter"/>
      <w:start w:val="1"/>
    </w:lvl>
  </w:abstractNum>
  <w:abstractNum w:abstractNumId="200">
    <w:nsid w:val="556B69ED"/>
    <w:multiLevelType w:val="hybridMultilevel"/>
    <w:lvl w:ilvl="0">
      <w:lvlJc w:val="left"/>
      <w:lvlText w:val="(%1)"/>
      <w:numFmt w:val="lowerLetter"/>
      <w:start w:val="1"/>
    </w:lvl>
    <w:lvl w:ilvl="1">
      <w:lvlJc w:val="left"/>
      <w:lvlText w:val="(%2)"/>
      <w:numFmt w:val="lowerLetter"/>
      <w:start w:val="9"/>
    </w:lvl>
  </w:abstractNum>
  <w:abstractNum w:abstractNumId="201">
    <w:nsid w:val="70836196"/>
    <w:multiLevelType w:val="hybridMultilevel"/>
    <w:lvl w:ilvl="0">
      <w:lvlJc w:val="left"/>
      <w:lvlText w:val="%1"/>
      <w:numFmt w:val="lowerLetter"/>
      <w:start w:val="1"/>
    </w:lvl>
    <w:lvl w:ilvl="1">
      <w:lvlJc w:val="left"/>
      <w:lvlText w:val="(%2)"/>
      <w:numFmt w:val="lowerRoman"/>
      <w:start w:val="2"/>
    </w:lvl>
  </w:abstractNum>
  <w:abstractNum w:abstractNumId="202">
    <w:nsid w:val="539F7F12"/>
    <w:multiLevelType w:val="hybridMultilevel"/>
    <w:lvl w:ilvl="0">
      <w:lvlJc w:val="left"/>
      <w:lvlText w:val="(%1)"/>
      <w:numFmt w:val="lowerLetter"/>
      <w:start w:val="2"/>
    </w:lvl>
    <w:lvl w:ilvl="1">
      <w:lvlJc w:val="left"/>
      <w:lvlText w:val="%2"/>
      <w:numFmt w:val="lowerRoman"/>
      <w:start w:val="1"/>
    </w:lvl>
  </w:abstractNum>
  <w:abstractNum w:abstractNumId="203">
    <w:nsid w:val="2817E7EC"/>
    <w:multiLevelType w:val="hybridMultilevel"/>
    <w:lvl w:ilvl="0">
      <w:lvlJc w:val="left"/>
      <w:lvlText w:val="(%1)"/>
      <w:numFmt w:val="lowerLetter"/>
      <w:start w:val="1"/>
    </w:lvl>
  </w:abstractNum>
  <w:abstractNum w:abstractNumId="204">
    <w:nsid w:val="71482545"/>
    <w:multiLevelType w:val="hybridMultilevel"/>
    <w:lvl w:ilvl="0">
      <w:lvlJc w:val="left"/>
      <w:lvlText w:val="(%1)"/>
      <w:numFmt w:val="lowerLetter"/>
      <w:start w:val="35"/>
    </w:lvl>
    <w:lvl w:ilvl="1">
      <w:lvlJc w:val="left"/>
      <w:lvlText w:val="(%2)"/>
      <w:numFmt w:val="lowerLetter"/>
      <w:start w:val="2"/>
    </w:lvl>
  </w:abstractNum>
  <w:abstractNum w:abstractNumId="205">
    <w:nsid w:val="17D78639"/>
    <w:multiLevelType w:val="hybridMultilevel"/>
    <w:lvl w:ilvl="0">
      <w:lvlJc w:val="left"/>
      <w:lvlText w:val="(%1)"/>
      <w:numFmt w:val="lowerLetter"/>
      <w:start w:val="9"/>
    </w:lvl>
    <w:lvl w:ilvl="1">
      <w:lvlJc w:val="left"/>
      <w:lvlText w:val="%2"/>
      <w:numFmt w:val="lowerLetter"/>
      <w:start w:val="1"/>
    </w:lvl>
  </w:abstractNum>
  <w:abstractNum w:abstractNumId="206">
    <w:nsid w:val="141D2302"/>
    <w:multiLevelType w:val="hybridMultilevel"/>
    <w:lvl w:ilvl="0">
      <w:lvlJc w:val="left"/>
      <w:lvlText w:val="(%1)"/>
      <w:numFmt w:val="lowerLetter"/>
      <w:start w:val="1"/>
    </w:lvl>
  </w:abstractNum>
  <w:abstractNum w:abstractNumId="207">
    <w:nsid w:val="407168D8"/>
    <w:multiLevelType w:val="hybridMultilevel"/>
    <w:lvl w:ilvl="0">
      <w:lvlJc w:val="left"/>
      <w:lvlText w:val="(%1)"/>
      <w:numFmt w:val="lowerLetter"/>
      <w:start w:val="3"/>
    </w:lvl>
  </w:abstractNum>
  <w:abstractNum w:abstractNumId="208">
    <w:nsid w:val="6A1B45E5"/>
    <w:multiLevelType w:val="hybridMultilevel"/>
    <w:lvl w:ilvl="0">
      <w:lvlJc w:val="left"/>
      <w:lvlText w:val="%1."/>
      <w:numFmt w:val="decimal"/>
      <w:start w:val="6"/>
    </w:lvl>
  </w:abstractNum>
  <w:abstractNum w:abstractNumId="209">
    <w:nsid w:val="567BD50A"/>
    <w:multiLevelType w:val="hybridMultilevel"/>
    <w:lvl w:ilvl="0">
      <w:lvlJc w:val="left"/>
      <w:lvlText w:val="%1"/>
      <w:numFmt w:val="lowerLetter"/>
      <w:start w:val="1"/>
    </w:lvl>
    <w:lvl w:ilvl="1">
      <w:lvlJc w:val="left"/>
      <w:lvlText w:val="(%2)"/>
      <w:numFmt w:val="lowerLetter"/>
      <w:start w:val="1"/>
    </w:lvl>
  </w:abstractNum>
  <w:abstractNum w:abstractNumId="210">
    <w:nsid w:val="73BBD7F8"/>
    <w:multiLevelType w:val="hybridMultilevel"/>
    <w:lvl w:ilvl="0">
      <w:lvlJc w:val="left"/>
      <w:lvlText w:val="(%1)"/>
      <w:numFmt w:val="lowerLetter"/>
      <w:start w:val="35"/>
    </w:lvl>
    <w:lvl w:ilvl="1">
      <w:lvlJc w:val="left"/>
      <w:lvlText w:val="(%2)"/>
      <w:numFmt w:val="lowerLetter"/>
      <w:start w:val="2"/>
    </w:lvl>
  </w:abstractNum>
  <w:abstractNum w:abstractNumId="211">
    <w:nsid w:val="1876589D"/>
    <w:multiLevelType w:val="hybridMultilevel"/>
    <w:lvl w:ilvl="0">
      <w:lvlJc w:val="left"/>
      <w:lvlText w:val="(%1)"/>
      <w:numFmt w:val="lowerLetter"/>
      <w:start w:val="3"/>
    </w:lvl>
  </w:abstractNum>
  <w:abstractNum w:abstractNumId="212">
    <w:nsid w:val="327FAC7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13">
    <w:nsid w:val="5A60650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14">
    <w:nsid w:val="6F38E6D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15">
    <w:nsid w:val="46111BA5"/>
    <w:multiLevelType w:val="hybridMultilevel"/>
    <w:lvl w:ilvl="0">
      <w:lvlJc w:val="left"/>
      <w:lvlText w:val="(%1)"/>
      <w:numFmt w:val="lowerRoman"/>
      <w:start w:val="2"/>
    </w:lvl>
  </w:abstractNum>
  <w:abstractNum w:abstractNumId="216">
    <w:nsid w:val="5E963896"/>
    <w:multiLevelType w:val="hybridMultilevel"/>
    <w:lvl w:ilvl="0">
      <w:lvlJc w:val="left"/>
      <w:lvlText w:val="%1"/>
      <w:numFmt w:val="lowerLetter"/>
      <w:start w:val="1"/>
    </w:lvl>
    <w:lvl w:ilvl="1">
      <w:lvlJc w:val="left"/>
      <w:lvlText w:val="(%2)"/>
      <w:numFmt w:val="lowerLetter"/>
      <w:start w:val="1"/>
    </w:lvl>
  </w:abstractNum>
  <w:abstractNum w:abstractNumId="217">
    <w:nsid w:val="775BA7C1"/>
    <w:multiLevelType w:val="hybridMultilevel"/>
    <w:lvl w:ilvl="0">
      <w:lvlJc w:val="left"/>
      <w:lvlText w:val="(%1)"/>
      <w:numFmt w:val="lowerLetter"/>
      <w:start w:val="35"/>
    </w:lvl>
    <w:lvl w:ilvl="1">
      <w:lvlJc w:val="left"/>
      <w:lvlText w:val="(%2)"/>
      <w:numFmt w:val="lowerLetter"/>
      <w:start w:val="2"/>
    </w:lvl>
  </w:abstractNum>
  <w:abstractNum w:abstractNumId="218">
    <w:nsid w:val="1DD6D6F4"/>
    <w:multiLevelType w:val="hybridMultilevel"/>
    <w:lvl w:ilvl="0">
      <w:lvlJc w:val="left"/>
      <w:lvlText w:val="(%1)"/>
      <w:numFmt w:val="lowerLetter"/>
      <w:start w:val="7"/>
    </w:lvl>
  </w:abstractNum>
  <w:abstractNum w:abstractNumId="219">
    <w:nsid w:val="769A091F"/>
    <w:multiLevelType w:val="hybridMultilevel"/>
    <w:lvl w:ilvl="0">
      <w:lvlJc w:val="left"/>
      <w:lvlText w:val="(%1)"/>
      <w:numFmt w:val="lowerLetter"/>
      <w:start w:val="1"/>
    </w:lvl>
  </w:abstractNum>
  <w:abstractNum w:abstractNumId="220">
    <w:nsid w:val="4695AE95"/>
    <w:multiLevelType w:val="hybridMultilevel"/>
    <w:lvl w:ilvl="0">
      <w:lvlJc w:val="left"/>
      <w:lvlText w:val="(%1)"/>
      <w:numFmt w:val="lowerLetter"/>
      <w:start w:val="1"/>
    </w:lvl>
  </w:abstractNum>
  <w:abstractNum w:abstractNumId="221">
    <w:nsid w:val="777A4EAA"/>
    <w:multiLevelType w:val="hybridMultilevel"/>
    <w:lvl w:ilvl="0">
      <w:lvlJc w:val="left"/>
      <w:lvlText w:val="%1."/>
      <w:numFmt w:val="decimal"/>
      <w:start w:val="7"/>
    </w:lvl>
  </w:abstractNum>
  <w:abstractNum w:abstractNumId="222">
    <w:nsid w:val="3F48B982"/>
    <w:multiLevelType w:val="hybridMultilevel"/>
    <w:lvl w:ilvl="0">
      <w:lvlJc w:val="left"/>
      <w:lvlText w:val="%1."/>
      <w:numFmt w:val="decimal"/>
      <w:start w:val="8"/>
    </w:lvl>
  </w:abstractNum>
  <w:abstractNum w:abstractNumId="223">
    <w:nsid w:val="46BA8FCA"/>
    <w:multiLevelType w:val="hybridMultilevel"/>
    <w:lvl w:ilvl="0">
      <w:lvlJc w:val="left"/>
      <w:lvlText w:val="%1"/>
      <w:numFmt w:val="lowerLetter"/>
      <w:start w:val="1"/>
    </w:lvl>
    <w:lvl w:ilvl="1">
      <w:lvlJc w:val="left"/>
      <w:lvlText w:val="(%2)"/>
      <w:numFmt w:val="lowerLetter"/>
      <w:start w:val="1"/>
    </w:lvl>
  </w:abstractNum>
  <w:abstractNum w:abstractNumId="224">
    <w:nsid w:val="7835626C"/>
    <w:multiLevelType w:val="hybridMultilevel"/>
    <w:lvl w:ilvl="0">
      <w:lvlJc w:val="left"/>
      <w:lvlText w:val="(%1)"/>
      <w:numFmt w:val="lowerLetter"/>
      <w:start w:val="61"/>
    </w:lvl>
    <w:lvl w:ilvl="1">
      <w:lvlJc w:val="left"/>
      <w:lvlText w:val="(%2)"/>
      <w:numFmt w:val="lowerLetter"/>
      <w:start w:val="2"/>
    </w:lvl>
  </w:abstractNum>
  <w:abstractNum w:abstractNumId="225">
    <w:nsid w:val="665ACA49"/>
    <w:multiLevelType w:val="hybridMultilevel"/>
    <w:lvl w:ilvl="0">
      <w:lvlJc w:val="left"/>
      <w:lvlText w:val="(%1)"/>
      <w:numFmt w:val="lowerRoman"/>
      <w:start w:val="1"/>
    </w:lvl>
  </w:abstractNum>
  <w:abstractNum w:abstractNumId="226">
    <w:nsid w:val="6835B2AE"/>
    <w:multiLevelType w:val="hybridMultilevel"/>
    <w:lvl w:ilvl="0">
      <w:lvlJc w:val="left"/>
      <w:lvlText w:val="%1."/>
      <w:numFmt w:val="decimal"/>
      <w:start w:val="9"/>
    </w:lvl>
  </w:abstractNum>
  <w:abstractNum w:abstractNumId="227">
    <w:nsid w:val="4C187C90"/>
    <w:multiLevelType w:val="hybridMultilevel"/>
    <w:lvl w:ilvl="0">
      <w:lvlJc w:val="left"/>
      <w:lvlText w:val="(%1)"/>
      <w:numFmt w:val="lowerLetter"/>
      <w:start w:val="1"/>
    </w:lvl>
  </w:abstractNum>
  <w:abstractNum w:abstractNumId="228">
    <w:nsid w:val="541F28CD"/>
    <w:multiLevelType w:val="hybridMultilevel"/>
    <w:lvl w:ilvl="0">
      <w:lvlJc w:val="left"/>
      <w:lvlText w:val="(%1)"/>
      <w:numFmt w:val="decimal"/>
      <w:start w:val="2"/>
    </w:lvl>
  </w:abstractNum>
  <w:abstractNum w:abstractNumId="229">
    <w:nsid w:val="7F65FD16"/>
    <w:multiLevelType w:val="hybridMultilevel"/>
    <w:lvl w:ilvl="0">
      <w:lvlJc w:val="left"/>
      <w:lvlText w:val="%1."/>
      <w:numFmt w:val="decimal"/>
      <w:start w:val="10"/>
    </w:lvl>
  </w:abstractNum>
  <w:abstractNum w:abstractNumId="230">
    <w:nsid w:val="77C9FD68"/>
    <w:multiLevelType w:val="hybridMultilevel"/>
    <w:lvl w:ilvl="0">
      <w:lvlJc w:val="left"/>
      <w:lvlText w:val="(%1)"/>
      <w:numFmt w:val="lowerRoman"/>
      <w:start w:val="2"/>
    </w:lvl>
  </w:abstractNum>
  <w:abstractNum w:abstractNumId="231">
    <w:nsid w:val="298A92BA"/>
    <w:multiLevelType w:val="hybridMultilevel"/>
    <w:lvl w:ilvl="0">
      <w:lvlJc w:val="left"/>
      <w:lvlText w:val="(%1)"/>
      <w:numFmt w:val="lowerRoman"/>
      <w:start w:val="3"/>
    </w:lvl>
  </w:abstractNum>
  <w:abstractNum w:abstractNumId="232">
    <w:nsid w:val="6FE95EAC"/>
    <w:multiLevelType w:val="hybridMultilevel"/>
    <w:lvl w:ilvl="0">
      <w:lvlJc w:val="left"/>
      <w:lvlText w:val="%1."/>
      <w:numFmt w:val="decimal"/>
      <w:start w:val="11"/>
    </w:lvl>
  </w:abstractNum>
  <w:abstractNum w:abstractNumId="233">
    <w:nsid w:val="4B697C7A"/>
    <w:multiLevelType w:val="hybridMultilevel"/>
    <w:lvl w:ilvl="0">
      <w:lvlJc w:val="left"/>
      <w:lvlText w:val="%1."/>
      <w:numFmt w:val="decimal"/>
      <w:start w:val="12"/>
    </w:lvl>
    <w:lvl w:ilvl="1">
      <w:lvlJc w:val="left"/>
      <w:lvlText w:val="(%2)"/>
      <w:numFmt w:val="lowerLetter"/>
      <w:start w:val="1"/>
    </w:lvl>
  </w:abstractNum>
  <w:abstractNum w:abstractNumId="234">
    <w:nsid w:val="51A27AA6"/>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235">
    <w:nsid w:val="613183F2"/>
    <w:multiLevelType w:val="hybridMultilevel"/>
    <w:lvl w:ilvl="0">
      <w:lvlJc w:val="left"/>
      <w:lvlText w:val="%1."/>
      <w:numFmt w:val="decimal"/>
      <w:start w:val="13"/>
    </w:lvl>
    <w:lvl w:ilvl="1">
      <w:lvlJc w:val="left"/>
      <w:lvlText w:val="(%2)"/>
      <w:numFmt w:val="lowerLetter"/>
      <w:start w:val="1"/>
    </w:lvl>
    <w:lvl w:ilvl="2">
      <w:lvlJc w:val="left"/>
      <w:lvlText w:val="(%3)"/>
      <w:numFmt w:val="upperLetter"/>
      <w:start w:val="1"/>
    </w:lvl>
  </w:abstractNum>
  <w:abstractNum w:abstractNumId="236">
    <w:nsid w:val="634102B4"/>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237">
    <w:nsid w:val="65BF9DA8"/>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2"/>
    </w:lvl>
  </w:abstractNum>
  <w:abstractNum w:abstractNumId="238">
    <w:nsid w:val="21A2ECCA"/>
    <w:multiLevelType w:val="hybridMultilevel"/>
    <w:lvl w:ilvl="0">
      <w:lvlJc w:val="left"/>
      <w:lvlText w:val="(%1)"/>
      <w:numFmt w:val="lowerLetter"/>
      <w:start w:val="2"/>
    </w:lvl>
  </w:abstractNum>
  <w:abstractNum w:abstractNumId="239">
    <w:nsid w:val="4D5C4899"/>
    <w:multiLevelType w:val="hybridMultilevel"/>
    <w:lvl w:ilvl="0">
      <w:lvlJc w:val="left"/>
      <w:lvlText w:val="(%1)"/>
      <w:numFmt w:val="lowerLetter"/>
      <w:start w:val="3"/>
    </w:lvl>
  </w:abstractNum>
  <w:abstractNum w:abstractNumId="240">
    <w:nsid w:val="3C3B72B2"/>
    <w:multiLevelType w:val="hybridMultilevel"/>
    <w:lvl w:ilvl="0">
      <w:lvlJc w:val="left"/>
      <w:lvlText w:val="(%1)"/>
      <w:numFmt w:val="lowerLetter"/>
      <w:start w:val="6"/>
    </w:lvl>
  </w:abstractNum>
  <w:abstractNum w:abstractNumId="241">
    <w:nsid w:val="155EC4C2"/>
    <w:multiLevelType w:val="hybridMultilevel"/>
    <w:lvl w:ilvl="0">
      <w:lvlJc w:val="left"/>
      <w:lvlText w:val="(%1)"/>
      <w:numFmt w:val="lowerLetter"/>
      <w:start w:val="9"/>
    </w:lvl>
  </w:abstractNum>
  <w:abstractNum w:abstractNumId="242">
    <w:nsid w:val="65D2A137"/>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43">
    <w:nsid w:val="6EBB1F2A"/>
    <w:multiLevelType w:val="hybridMultilevel"/>
    <w:lvl w:ilvl="0">
      <w:lvlJc w:val="left"/>
      <w:lvlText w:val="%1"/>
      <w:numFmt w:val="lowerLetter"/>
      <w:start w:val="1"/>
    </w:lvl>
    <w:lvl w:ilvl="1">
      <w:lvlJc w:val="left"/>
      <w:lvlText w:val="(%2)"/>
      <w:numFmt w:val="lowerRoman"/>
      <w:start w:val="7"/>
    </w:lvl>
    <w:lvl w:ilvl="2">
      <w:lvlJc w:val="left"/>
      <w:lvlText w:val="%3"/>
      <w:numFmt w:val="lowerRoman"/>
      <w:start w:val="1"/>
    </w:lvl>
  </w:abstractNum>
  <w:abstractNum w:abstractNumId="244">
    <w:nsid w:val="6FBF29C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45">
    <w:nsid w:val="550B8808"/>
    <w:multiLevelType w:val="hybridMultilevel"/>
    <w:lvl w:ilvl="0">
      <w:lvlJc w:val="left"/>
      <w:lvlText w:val="(%1)"/>
      <w:numFmt w:val="lowerLetter"/>
      <w:start w:val="6"/>
    </w:lvl>
  </w:abstractNum>
  <w:abstractNum w:abstractNumId="246">
    <w:nsid w:val="34CC3ACF"/>
    <w:multiLevelType w:val="hybridMultilevel"/>
    <w:lvl w:ilvl="0">
      <w:lvlJc w:val="left"/>
      <w:lvlText w:val="(%1)"/>
      <w:numFmt w:val="lowerLetter"/>
      <w:start w:val="1"/>
    </w:lvl>
  </w:abstractNum>
  <w:abstractNum w:abstractNumId="247">
    <w:nsid w:val="4E556261"/>
    <w:multiLevelType w:val="hybridMultilevel"/>
    <w:lvl w:ilvl="0">
      <w:lvlJc w:val="left"/>
      <w:lvlText w:val="%1."/>
      <w:numFmt w:val="decimal"/>
      <w:start w:val="15"/>
    </w:lvl>
  </w:abstractNum>
  <w:abstractNum w:abstractNumId="248">
    <w:nsid w:val="4C672FC9"/>
    <w:multiLevelType w:val="hybridMultilevel"/>
    <w:lvl w:ilvl="0">
      <w:lvlJc w:val="left"/>
      <w:lvlText w:val="(%1)"/>
      <w:numFmt w:val="lowerLetter"/>
      <w:start w:val="7"/>
    </w:lvl>
  </w:abstractNum>
  <w:abstractNum w:abstractNumId="249">
    <w:nsid w:val="52A311C3"/>
    <w:multiLevelType w:val="hybridMultilevel"/>
    <w:lvl w:ilvl="0">
      <w:lvlJc w:val="left"/>
      <w:lvlText w:val="(%1)"/>
      <w:numFmt w:val="lowerLetter"/>
      <w:start w:val="1"/>
    </w:lvl>
  </w:abstractNum>
  <w:abstractNum w:abstractNumId="250">
    <w:nsid w:val="44EF6B80"/>
    <w:multiLevelType w:val="hybridMultilevel"/>
    <w:lvl w:ilvl="0">
      <w:lvlJc w:val="left"/>
      <w:lvlText w:val="(%1)"/>
      <w:numFmt w:val="lowerLetter"/>
      <w:start w:val="25"/>
    </w:lvl>
  </w:abstractNum>
  <w:abstractNum w:abstractNumId="251">
    <w:nsid w:val="12FCDE5E"/>
    <w:multiLevelType w:val="hybridMultilevel"/>
    <w:lvl w:ilvl="0">
      <w:lvlJc w:val="left"/>
      <w:lvlText w:val="(%1)"/>
      <w:numFmt w:val="lowerLetter"/>
      <w:start w:val="2"/>
    </w:lvl>
  </w:abstractNum>
  <w:abstractNum w:abstractNumId="252">
    <w:nsid w:val="4A1D606E"/>
    <w:multiLevelType w:val="hybridMultilevel"/>
    <w:lvl w:ilvl="0">
      <w:lvlJc w:val="left"/>
      <w:lvlText w:val="(%1)"/>
      <w:numFmt w:val="lowerLetter"/>
      <w:start w:val="1"/>
    </w:lvl>
  </w:abstractNum>
  <w:abstractNum w:abstractNumId="253">
    <w:nsid w:val="4382503"/>
    <w:multiLevelType w:val="hybridMultilevel"/>
    <w:lvl w:ilvl="0">
      <w:lvlJc w:val="left"/>
      <w:lvlText w:val="%1"/>
      <w:numFmt w:val="lowerLetter"/>
      <w:start w:val="1"/>
    </w:lvl>
    <w:lvl w:ilvl="1">
      <w:lvlJc w:val="left"/>
      <w:lvlText w:val="(%2)"/>
      <w:numFmt w:val="lowerLetter"/>
      <w:start w:val="2"/>
    </w:lvl>
  </w:abstractNum>
  <w:abstractNum w:abstractNumId="254">
    <w:nsid w:val="59B76E28"/>
    <w:multiLevelType w:val="hybridMultilevel"/>
    <w:lvl w:ilvl="0">
      <w:lvlJc w:val="left"/>
      <w:lvlText w:val="(%1)"/>
      <w:numFmt w:val="lowerLetter"/>
      <w:start w:val="35"/>
    </w:lvl>
    <w:lvl w:ilvl="1">
      <w:lvlJc w:val="left"/>
      <w:lvlText w:val="%2"/>
      <w:numFmt w:val="lowerLetter"/>
      <w:start w:val="1"/>
    </w:lvl>
  </w:abstractNum>
  <w:abstractNum w:abstractNumId="255">
    <w:nsid w:val="4252C2DA"/>
    <w:multiLevelType w:val="hybridMultilevel"/>
    <w:lvl w:ilvl="0">
      <w:lvlJc w:val="left"/>
      <w:lvlText w:val="(%1)"/>
      <w:numFmt w:val="lowerLetter"/>
      <w:start w:val="1"/>
    </w:lvl>
  </w:abstractNum>
  <w:abstractNum w:abstractNumId="256">
    <w:nsid w:val="6A92EF4C"/>
    <w:multiLevelType w:val="hybridMultilevel"/>
    <w:lvl w:ilvl="0">
      <w:lvlJc w:val="left"/>
      <w:lvlText w:val="%1"/>
      <w:numFmt w:val="lowerLetter"/>
      <w:start w:val="1"/>
    </w:lvl>
    <w:lvl w:ilvl="1">
      <w:lvlJc w:val="left"/>
      <w:lvlText w:val="(%2)"/>
      <w:numFmt w:val="lowerLetter"/>
      <w:start w:val="2"/>
    </w:lvl>
  </w:abstractNum>
  <w:abstractNum w:abstractNumId="257">
    <w:nsid w:val="41ED20D7"/>
    <w:multiLevelType w:val="hybridMultilevel"/>
    <w:lvl w:ilvl="0">
      <w:lvlJc w:val="left"/>
      <w:lvlText w:val="(%1)"/>
      <w:numFmt w:val="lowerLetter"/>
      <w:start w:val="35"/>
    </w:lvl>
    <w:lvl w:ilvl="1">
      <w:lvlJc w:val="left"/>
      <w:lvlText w:val="(%2)"/>
      <w:numFmt w:val="lowerLetter"/>
      <w:start w:val="3"/>
    </w:lvl>
  </w:abstractNum>
  <w:abstractNum w:abstractNumId="258">
    <w:nsid w:val="E6B3F6A"/>
    <w:multiLevelType w:val="hybridMultilevel"/>
    <w:lvl w:ilvl="0">
      <w:lvlJc w:val="left"/>
      <w:lvlText w:val="(%1)"/>
      <w:numFmt w:val="lowerLetter"/>
      <w:start w:val="1"/>
    </w:lvl>
  </w:abstractNum>
  <w:abstractNum w:abstractNumId="259">
    <w:nsid w:val="3EB21819"/>
    <w:multiLevelType w:val="hybridMultilevel"/>
    <w:lvl w:ilvl="0">
      <w:lvlJc w:val="left"/>
      <w:lvlText w:val="%1"/>
      <w:numFmt w:val="decimal"/>
      <w:start w:val="1"/>
    </w:lvl>
    <w:lvl w:ilvl="1">
      <w:lvlJc w:val="left"/>
      <w:lvlText w:val="(%2)"/>
      <w:numFmt w:val="lowerLetter"/>
      <w:start w:val="3"/>
    </w:lvl>
  </w:abstractNum>
  <w:abstractNum w:abstractNumId="260">
    <w:nsid w:val="41531DED"/>
    <w:multiLevelType w:val="hybridMultilevel"/>
    <w:lvl w:ilvl="0">
      <w:lvlJc w:val="left"/>
      <w:lvlText w:val="%1."/>
      <w:numFmt w:val="decimal"/>
      <w:start w:val="16"/>
    </w:lvl>
    <w:lvl w:ilvl="1">
      <w:lvlJc w:val="left"/>
      <w:lvlText w:val="%2"/>
      <w:numFmt w:val="lowerLetter"/>
      <w:start w:val="1"/>
    </w:lvl>
  </w:abstractNum>
  <w:abstractNum w:abstractNumId="261">
    <w:nsid w:val="6353CD2"/>
    <w:multiLevelType w:val="hybridMultilevel"/>
    <w:lvl w:ilvl="0">
      <w:lvlJc w:val="left"/>
      <w:lvlText w:val="(%1)"/>
      <w:numFmt w:val="lowerLetter"/>
      <w:start w:val="1"/>
    </w:lvl>
    <w:lvl w:ilvl="1">
      <w:lvlJc w:val="left"/>
      <w:lvlText w:val="(%2)"/>
      <w:numFmt w:val="lowerRoman"/>
      <w:start w:val="1"/>
    </w:lvl>
  </w:abstractNum>
  <w:abstractNum w:abstractNumId="262">
    <w:nsid w:val="683CAAD3"/>
    <w:multiLevelType w:val="hybridMultilevel"/>
    <w:lvl w:ilvl="0">
      <w:lvlJc w:val="left"/>
      <w:lvlText w:val="(%1)"/>
      <w:numFmt w:val="lowerLetter"/>
      <w:start w:val="3"/>
    </w:lvl>
  </w:abstractNum>
  <w:abstractNum w:abstractNumId="263">
    <w:nsid w:val="313C7C99"/>
    <w:multiLevelType w:val="hybridMultilevel"/>
    <w:lvl w:ilvl="0">
      <w:lvlJc w:val="left"/>
      <w:lvlText w:val="(%1)"/>
      <w:numFmt w:val="lowerLetter"/>
      <w:start w:val="1"/>
    </w:lvl>
  </w:abstractNum>
  <w:abstractNum w:abstractNumId="264">
    <w:nsid w:val="519EB9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5">
    <w:nsid w:val="39DF25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66">
    <w:nsid w:val="126E008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67">
    <w:nsid w:val="34DFBC0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68">
    <w:nsid w:val="1F9EC322"/>
    <w:multiLevelType w:val="hybridMultilevel"/>
    <w:lvl w:ilvl="0">
      <w:lvlJc w:val="left"/>
      <w:lvlText w:val="(%1)"/>
      <w:numFmt w:val="lowerRoman"/>
      <w:start w:val="1"/>
    </w:lvl>
  </w:abstractNum>
  <w:abstractNum w:abstractNumId="269">
    <w:nsid w:val="3410ED56"/>
    <w:multiLevelType w:val="hybridMultilevel"/>
    <w:lvl w:ilvl="0">
      <w:lvlJc w:val="left"/>
      <w:lvlText w:val="(%1)"/>
      <w:numFmt w:val="upperLetter"/>
      <w:start w:val="1"/>
    </w:lvl>
  </w:abstractNum>
  <w:abstractNum w:abstractNumId="270">
    <w:nsid w:val="23C049A"/>
    <w:multiLevelType w:val="hybridMultilevel"/>
    <w:lvl w:ilvl="0">
      <w:lvlJc w:val="left"/>
      <w:lvlText w:val="(%1)"/>
      <w:numFmt w:val="lowerLetter"/>
      <w:start w:val="8"/>
    </w:lvl>
  </w:abstractNum>
  <w:abstractNum w:abstractNumId="271">
    <w:nsid w:val="5BDA35D4"/>
    <w:multiLevelType w:val="hybridMultilevel"/>
    <w:lvl w:ilvl="0">
      <w:lvlJc w:val="left"/>
      <w:lvlText w:val="(%1)"/>
      <w:numFmt w:val="lowerRoman"/>
      <w:start w:val="1"/>
    </w:lvl>
    <w:lvl w:ilvl="1">
      <w:lvlJc w:val="left"/>
      <w:lvlText w:val="(%2)"/>
      <w:numFmt w:val="upperLetter"/>
      <w:start w:val="1"/>
    </w:lvl>
  </w:abstractNum>
  <w:abstractNum w:abstractNumId="272">
    <w:nsid w:val="496FB218"/>
    <w:multiLevelType w:val="hybridMultilevel"/>
    <w:lvl w:ilvl="0">
      <w:lvlJc w:val="left"/>
      <w:lvlText w:val="(%1)"/>
      <w:numFmt w:val="lowerLetter"/>
      <w:start w:val="9"/>
    </w:lvl>
  </w:abstractNum>
  <w:abstractNum w:abstractNumId="273">
    <w:nsid w:val="680EA5D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4">
    <w:nsid w:val="4A9554F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75">
    <w:nsid w:val="392EDBE4"/>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76">
    <w:nsid w:val="3D1A2DD9"/>
    <w:multiLevelType w:val="hybridMultilevel"/>
    <w:lvl w:ilvl="0">
      <w:lvlJc w:val="left"/>
      <w:lvlText w:val="(%1)"/>
      <w:numFmt w:val="lowerLetter"/>
      <w:start w:val="1"/>
    </w:lvl>
  </w:abstractNum>
  <w:abstractNum w:abstractNumId="277">
    <w:nsid w:val="7F618FCD"/>
    <w:multiLevelType w:val="hybridMultilevel"/>
    <w:lvl w:ilvl="0">
      <w:lvlJc w:val="left"/>
      <w:lvlText w:val="(%1)"/>
      <w:numFmt w:val="lowerLetter"/>
      <w:start w:val="1"/>
    </w:lvl>
  </w:abstractNum>
  <w:abstractNum w:abstractNumId="278">
    <w:nsid w:val="7843E45"/>
    <w:multiLevelType w:val="hybridMultilevel"/>
    <w:lvl w:ilvl="0">
      <w:lvlJc w:val="left"/>
      <w:lvlText w:val="(%1)"/>
      <w:numFmt w:val="lowerLetter"/>
      <w:start w:val="1"/>
    </w:lvl>
  </w:abstractNum>
  <w:abstractNum w:abstractNumId="279">
    <w:nsid w:val="9815DA3"/>
    <w:multiLevelType w:val="hybridMultilevel"/>
    <w:lvl w:ilvl="0">
      <w:lvlJc w:val="left"/>
      <w:lvlText w:val="%1"/>
      <w:numFmt w:val="lowerLetter"/>
      <w:start w:val="1"/>
    </w:lvl>
    <w:lvl w:ilvl="1">
      <w:lvlJc w:val="left"/>
      <w:lvlText w:val="(%2)"/>
      <w:numFmt w:val="lowerRoman"/>
      <w:start w:val="1"/>
    </w:lvl>
  </w:abstractNum>
  <w:abstractNum w:abstractNumId="280">
    <w:nsid w:val="5204A191"/>
    <w:multiLevelType w:val="hybridMultilevel"/>
    <w:lvl w:ilvl="0">
      <w:lvlJc w:val="left"/>
      <w:lvlText w:val="(%1)"/>
      <w:numFmt w:val="lowerLetter"/>
      <w:start w:val="3"/>
    </w:lvl>
    <w:lvl w:ilvl="1">
      <w:lvlJc w:val="left"/>
      <w:lvlText w:val="%2"/>
      <w:numFmt w:val="lowerRoman"/>
      <w:start w:val="1"/>
    </w:lvl>
  </w:abstractNum>
  <w:abstractNum w:abstractNumId="281">
    <w:nsid w:val="4C73A9C6"/>
    <w:multiLevelType w:val="hybridMultilevel"/>
    <w:lvl w:ilvl="0">
      <w:lvlJc w:val="left"/>
      <w:lvlText w:val="%1"/>
      <w:numFmt w:val="decimal"/>
      <w:start w:val="1"/>
    </w:lvl>
    <w:lvl w:ilvl="1">
      <w:lvlJc w:val="left"/>
      <w:lvlText w:val="(%2)"/>
      <w:numFmt w:val="lowerLetter"/>
      <w:start w:val="4"/>
    </w:lvl>
  </w:abstractNum>
  <w:abstractNum w:abstractNumId="282">
    <w:nsid w:val="1C7E3C01"/>
    <w:multiLevelType w:val="hybridMultilevel"/>
    <w:lvl w:ilvl="0">
      <w:lvlJc w:val="left"/>
      <w:lvlText w:val="%1."/>
      <w:numFmt w:val="decimal"/>
      <w:start w:val="17"/>
    </w:lvl>
    <w:lvl w:ilvl="1">
      <w:lvlJc w:val="left"/>
      <w:lvlText w:val="%2"/>
      <w:numFmt w:val="lowerLetter"/>
      <w:start w:val="1"/>
    </w:lvl>
  </w:abstractNum>
  <w:abstractNum w:abstractNumId="283">
    <w:nsid w:val="1C2201FF"/>
    <w:multiLevelType w:val="hybridMultilevel"/>
    <w:lvl w:ilvl="0">
      <w:lvlJc w:val="left"/>
      <w:lvlText w:val="(%1)"/>
      <w:numFmt w:val="lowerLetter"/>
      <w:start w:val="1"/>
    </w:lvl>
  </w:abstractNum>
  <w:abstractNum w:abstractNumId="284">
    <w:nsid w:val="50ABCEC9"/>
    <w:multiLevelType w:val="hybridMultilevel"/>
    <w:lvl w:ilvl="0">
      <w:lvlJc w:val="left"/>
      <w:lvlText w:val="(%1)"/>
      <w:numFmt w:val="lowerLetter"/>
      <w:start w:val="24"/>
    </w:lvl>
    <w:lvl w:ilvl="1">
      <w:lvlJc w:val="left"/>
      <w:lvlText w:val="(%2)"/>
      <w:numFmt w:val="lowerLetter"/>
      <w:start w:val="2"/>
    </w:lvl>
  </w:abstractNum>
  <w:abstractNum w:abstractNumId="285">
    <w:nsid w:val="7635AA2A"/>
    <w:multiLevelType w:val="hybridMultilevel"/>
    <w:lvl w:ilvl="0">
      <w:lvlJc w:val="left"/>
      <w:lvlText w:val="."/>
      <w:numFmt w:val="bullet"/>
      <w:start w:val="1"/>
    </w:lvl>
  </w:abstractNum>
  <w:abstractNum w:abstractNumId="286">
    <w:nsid w:val="5E74C4D9"/>
    <w:multiLevelType w:val="hybridMultilevel"/>
    <w:lvl w:ilvl="0">
      <w:lvlJc w:val="left"/>
      <w:lvlText w:val="(%1)"/>
      <w:numFmt w:val="lowerLetter"/>
      <w:start w:val="1"/>
    </w:lvl>
  </w:abstractNum>
  <w:abstractNum w:abstractNumId="287">
    <w:nsid w:val="3B3EBE15"/>
    <w:multiLevelType w:val="hybridMultilevel"/>
    <w:lvl w:ilvl="0">
      <w:lvlJc w:val="left"/>
      <w:lvlText w:val="%1"/>
      <w:numFmt w:val="lowerLetter"/>
      <w:start w:val="1"/>
    </w:lvl>
    <w:lvl w:ilvl="1">
      <w:lvlJc w:val="left"/>
      <w:lvlText w:val="(%2)"/>
      <w:numFmt w:val="lowerRoman"/>
      <w:start w:val="1"/>
    </w:lvl>
  </w:abstractNum>
  <w:abstractNum w:abstractNumId="288">
    <w:nsid w:val="3822CB01"/>
    <w:multiLevelType w:val="hybridMultilevel"/>
    <w:lvl w:ilvl="0">
      <w:lvlJc w:val="left"/>
      <w:lvlText w:val="(%1)"/>
      <w:numFmt w:val="lowerLetter"/>
      <w:start w:val="3"/>
    </w:lvl>
    <w:lvl w:ilvl="1">
      <w:lvlJc w:val="left"/>
      <w:lvlText w:val="%2"/>
      <w:numFmt w:val="lowerRoman"/>
      <w:start w:val="1"/>
    </w:lvl>
  </w:abstractNum>
  <w:abstractNum w:abstractNumId="289">
    <w:nsid w:val="6CE00443"/>
    <w:multiLevelType w:val="hybridMultilevel"/>
    <w:lvl w:ilvl="0">
      <w:lvlJc w:val="left"/>
      <w:lvlText w:val="(%1)"/>
      <w:numFmt w:val="lowerLetter"/>
      <w:start w:val="1"/>
    </w:lvl>
    <w:lvl w:ilvl="1">
      <w:lvlJc w:val="left"/>
      <w:lvlText w:val="(%2)"/>
      <w:numFmt w:val="lowerRoman"/>
      <w:start w:val="1"/>
    </w:lvl>
  </w:abstractNum>
  <w:abstractNum w:abstractNumId="290">
    <w:nsid w:val="79F0D62F"/>
    <w:multiLevelType w:val="hybridMultilevel"/>
    <w:lvl w:ilvl="0">
      <w:lvlJc w:val="left"/>
      <w:lvlText w:val="(%1)"/>
      <w:numFmt w:val="lowerLetter"/>
      <w:start w:val="1"/>
    </w:lvl>
  </w:abstractNum>
  <w:abstractNum w:abstractNumId="291">
    <w:nsid w:val="7975E8E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2019-12-08T10:01:24Z</dcterms:created>
  <dcterms:modified xsi:type="dcterms:W3CDTF">2019-12-08T10:01:24Z</dcterms:modified>
</cp:coreProperties>
</file>