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now-20230930.htm"/>
      <w:bookmarkStart w:id="1" w:name="ksdnow20230930"/>
      <w:bookmarkEnd w:id="0"/>
      <w:bookmarkEnd w:id="1"/>
      <w:r>
        <w:rPr/>
        <w:t> </w:t>
      </w:r>
    </w:p>
    <w:p>
      <w:pPr>
        <w:pStyle w:val="TextBody"/>
        <w:pBdr>
          <w:bottom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6" w:space="1" w:color="000000"/>
        </w:pBdr>
        <w:bidi w:val="0"/>
        <w:jc w:val="center"/>
        <w:rPr/>
      </w:pPr>
      <w:r>
        <w:rPr/>
        <w:t> </w:t>
      </w:r>
    </w:p>
    <w:p>
      <w:pPr>
        <w:pStyle w:val="TextBody"/>
        <w:bidi w:val="0"/>
        <w:spacing w:before="120" w:after="283"/>
        <w:jc w:val="center"/>
        <w:rPr>
          <w:rFonts w:ascii="Times New Roman" w:hAnsi="Times New Roman"/>
          <w:b/>
          <w:color w:val="000000"/>
          <w:sz w:val="32"/>
        </w:rPr>
      </w:pPr>
      <w:r>
        <w:rPr>
          <w:rFonts w:ascii="Times New Roman" w:hAnsi="Times New Roman"/>
          <w:b/>
          <w:color w:val="000000"/>
          <w:sz w:val="32"/>
        </w:rPr>
        <w:t>FORM 10-Q</w:t>
      </w:r>
    </w:p>
    <w:p>
      <w:pPr>
        <w:pStyle w:val="TextBody"/>
        <w:pBdr>
          <w:bottom w:val="single" w:sz="6" w:space="1" w:color="000000"/>
        </w:pBdr>
        <w:bidi w:val="0"/>
        <w:jc w:val="center"/>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(Mark one)</w:t>
      </w:r>
    </w:p>
    <w:tbl>
      <w:tblPr>
        <w:tblW w:w="9797" w:type="dxa"/>
        <w:jc w:val="left"/>
        <w:tblInd w:w="0" w:type="dxa"/>
        <w:tblLayout w:type="fixed"/>
        <w:tblCellMar>
          <w:top w:w="28" w:type="dxa"/>
          <w:left w:w="28" w:type="dxa"/>
          <w:bottom w:w="28" w:type="dxa"/>
          <w:right w:w="28" w:type="dxa"/>
        </w:tblCellMar>
      </w:tblPr>
      <w:tblGrid>
        <w:gridCol w:w="331"/>
        <w:gridCol w:w="9466"/>
      </w:tblGrid>
      <w:tr>
        <w:trPr/>
        <w:tc>
          <w:tcPr>
            <w:tcW w:w="331" w:type="dxa"/>
            <w:tcBorders/>
            <w:vAlign w:val="center"/>
          </w:tcPr>
          <w:p>
            <w:pPr>
              <w:pStyle w:val="TableContents"/>
              <w:bidi w:val="0"/>
              <w:spacing w:before="0" w:after="283"/>
              <w:jc w:val="left"/>
              <w:rPr>
                <w:sz w:val="4"/>
                <w:szCs w:val="4"/>
              </w:rPr>
            </w:pPr>
            <w:r>
              <w:rPr>
                <w:sz w:val="4"/>
                <w:szCs w:val="4"/>
              </w:rPr>
            </w:r>
          </w:p>
        </w:tc>
        <w:tc>
          <w:tcPr>
            <w:tcW w:w="9466"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60" w:after="283"/>
              <w:jc w:val="left"/>
              <w:rPr>
                <w:color w:val="000000"/>
              </w:rPr>
            </w:pPr>
            <w:r>
              <w:rPr>
                <w:color w:val="000000"/>
              </w:rPr>
              <w:t>☒</w:t>
            </w:r>
          </w:p>
        </w:tc>
        <w:tc>
          <w:tcPr>
            <w:tcW w:w="9466" w:type="dxa"/>
            <w:tcBorders/>
            <w:vAlign w:val="center"/>
          </w:tcPr>
          <w:p>
            <w:pPr>
              <w:pStyle w:val="TableContents"/>
              <w:bidi w:val="0"/>
              <w:spacing w:before="60" w:after="283"/>
              <w:jc w:val="left"/>
              <w:rPr>
                <w:rFonts w:ascii="Times New Roman" w:hAnsi="Times New Roman"/>
                <w:sz w:val="18"/>
              </w:rPr>
            </w:pPr>
            <w:r>
              <w:rPr>
                <w:rFonts w:ascii="Times New Roman" w:hAnsi="Times New Roman"/>
                <w:b/>
                <w:color w:val="000000"/>
                <w:sz w:val="18"/>
              </w:rPr>
              <w:t>QUARTERLY REPORT PURSUANT TO SECTION 13 OR 15(d) OF THE SECURITIES EXCHANGE ACT OF 1934</w:t>
            </w:r>
            <w:r>
              <w:rPr>
                <w:rFonts w:ascii="Times New Roman" w:hAnsi="Times New Roman"/>
                <w:color w:val="000000"/>
                <w:sz w:val="18"/>
              </w:rPr>
              <w:t xml:space="preserve"> </w:t>
            </w:r>
          </w:p>
        </w:tc>
      </w:tr>
    </w:tbl>
    <w:p>
      <w:pPr>
        <w:pStyle w:val="TextBody"/>
        <w:bidi w:val="0"/>
        <w:spacing w:before="60" w:after="283"/>
        <w:jc w:val="center"/>
        <w:rPr>
          <w:rFonts w:ascii="Times New Roman" w:hAnsi="Times New Roman"/>
          <w:sz w:val="20"/>
        </w:rPr>
      </w:pPr>
      <w:r>
        <w:rPr>
          <w:rFonts w:ascii="Times New Roman" w:hAnsi="Times New Roman"/>
          <w:b/>
          <w:color w:val="000000"/>
          <w:sz w:val="16"/>
        </w:rPr>
        <w:t xml:space="preserve">FOR THE QUARTERLY PERIOD ENDED </w:t>
      </w:r>
      <w:r>
        <w:rPr>
          <w:rFonts w:ascii="Times New Roman" w:hAnsi="Times New Roman"/>
          <w:b/>
          <w:caps/>
          <w:color w:val="000000"/>
          <w:sz w:val="16"/>
        </w:rPr>
        <w:t>September 30, 2023</w:t>
      </w:r>
    </w:p>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OR</w:t>
      </w:r>
    </w:p>
    <w:tbl>
      <w:tblPr>
        <w:tblW w:w="9752" w:type="dxa"/>
        <w:jc w:val="left"/>
        <w:tblInd w:w="0" w:type="dxa"/>
        <w:tblLayout w:type="fixed"/>
        <w:tblCellMar>
          <w:top w:w="28" w:type="dxa"/>
          <w:left w:w="28" w:type="dxa"/>
          <w:bottom w:w="28" w:type="dxa"/>
          <w:right w:w="28" w:type="dxa"/>
        </w:tblCellMar>
      </w:tblPr>
      <w:tblGrid>
        <w:gridCol w:w="331"/>
        <w:gridCol w:w="9421"/>
      </w:tblGrid>
      <w:tr>
        <w:trPr/>
        <w:tc>
          <w:tcPr>
            <w:tcW w:w="33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60" w:after="283"/>
              <w:jc w:val="left"/>
              <w:rPr>
                <w:color w:val="000000"/>
              </w:rPr>
            </w:pPr>
            <w:r>
              <w:rPr>
                <w:color w:val="000000"/>
              </w:rPr>
              <w:t>☐</w:t>
            </w:r>
          </w:p>
        </w:tc>
        <w:tc>
          <w:tcPr>
            <w:tcW w:w="9421" w:type="dxa"/>
            <w:tcBorders/>
            <w:vAlign w:val="center"/>
          </w:tcPr>
          <w:p>
            <w:pPr>
              <w:pStyle w:val="TableContents"/>
              <w:bidi w:val="0"/>
              <w:spacing w:before="60" w:after="283"/>
              <w:jc w:val="left"/>
              <w:rPr>
                <w:rFonts w:ascii="Times New Roman" w:hAnsi="Times New Roman"/>
                <w:b/>
                <w:color w:val="000000"/>
                <w:sz w:val="18"/>
              </w:rPr>
            </w:pPr>
            <w:r>
              <w:rPr>
                <w:rFonts w:ascii="Times New Roman" w:hAnsi="Times New Roman"/>
                <w:b/>
                <w:color w:val="000000"/>
                <w:sz w:val="18"/>
              </w:rPr>
              <w:t>TRANSITION REPORT PURSUANT TO SECTION 13 OR 15(d) OF THE SECURITIES EXCHANGE ACT OF 1934</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Commission File Number 001-36325</w:t>
      </w:r>
    </w:p>
    <w:p>
      <w:pPr>
        <w:pStyle w:val="TextBody"/>
        <w:pBdr>
          <w:bottom w:val="single" w:sz="6" w:space="1" w:color="000000"/>
        </w:pBdr>
        <w:bidi w:val="0"/>
        <w:jc w:val="center"/>
        <w:rPr/>
      </w:pPr>
      <w:r>
        <w:rPr/>
        <w:t> </w:t>
      </w:r>
    </w:p>
    <w:p>
      <w:pPr>
        <w:pStyle w:val="TextBody"/>
        <w:bidi w:val="0"/>
        <w:spacing w:before="120" w:after="283"/>
        <w:jc w:val="center"/>
        <w:rPr>
          <w:rFonts w:ascii="Times New Roman" w:hAnsi="Times New Roman"/>
          <w:b/>
          <w:color w:val="000000"/>
          <w:sz w:val="40"/>
        </w:rPr>
      </w:pPr>
      <w:r>
        <w:rPr>
          <w:rFonts w:ascii="Times New Roman" w:hAnsi="Times New Roman"/>
          <w:b/>
          <w:color w:val="000000"/>
          <w:sz w:val="40"/>
        </w:rPr>
        <w:t>NOW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6" w:space="1" w:color="000000"/>
        </w:pBdr>
        <w:bidi w:val="0"/>
        <w:jc w:val="center"/>
        <w:rPr/>
      </w:pPr>
      <w:r>
        <w:rPr/>
        <w:t> </w:t>
      </w:r>
    </w:p>
    <w:tbl>
      <w:tblPr>
        <w:tblW w:w="4003" w:type="dxa"/>
        <w:jc w:val="left"/>
        <w:tblInd w:w="0" w:type="dxa"/>
        <w:tblLayout w:type="fixed"/>
        <w:tblCellMar>
          <w:top w:w="28" w:type="dxa"/>
          <w:left w:w="28" w:type="dxa"/>
          <w:bottom w:w="28" w:type="dxa"/>
          <w:right w:w="28" w:type="dxa"/>
        </w:tblCellMar>
      </w:tblPr>
      <w:tblGrid>
        <w:gridCol w:w="2371"/>
        <w:gridCol w:w="146"/>
        <w:gridCol w:w="148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371" w:type="dxa"/>
            <w:tcBorders/>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Delaware</w:t>
            </w:r>
            <w:r>
              <w:rPr>
                <w:rFonts w:ascii="Times New Roman" w:hAnsi="Times New Roman"/>
                <w:color w:val="000000"/>
                <w:sz w:val="20"/>
              </w:rPr>
              <w:t xml:space="preserve"> </w:t>
            </w:r>
          </w:p>
        </w:tc>
        <w:tc>
          <w:tcPr>
            <w:tcW w:w="146" w:type="dxa"/>
            <w:tcBorders/>
            <w:vAlign w:val="center"/>
          </w:tcPr>
          <w:p>
            <w:pPr>
              <w:pStyle w:val="TableContents"/>
              <w:bidi w:val="0"/>
              <w:spacing w:before="0" w:after="283"/>
              <w:jc w:val="left"/>
              <w:rPr/>
            </w:pPr>
            <w:r>
              <w:rPr/>
              <w:t> </w:t>
            </w:r>
          </w:p>
        </w:tc>
        <w:tc>
          <w:tcPr>
            <w:tcW w:w="148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46-4191184</w:t>
            </w:r>
          </w:p>
        </w:tc>
      </w:tr>
      <w:tr>
        <w:trPr/>
        <w:tc>
          <w:tcPr>
            <w:tcW w:w="2371" w:type="dxa"/>
            <w:tcBorders/>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(State or other jurisdiction of</w:t>
            </w:r>
            <w:r>
              <w:rPr>
                <w:rFonts w:ascii="Times New Roman" w:hAnsi="Times New Roman"/>
                <w:color w:val="000000"/>
                <w:sz w:val="16"/>
              </w:rPr>
              <w:t xml:space="preserve"> </w:t>
            </w:r>
          </w:p>
        </w:tc>
        <w:tc>
          <w:tcPr>
            <w:tcW w:w="146" w:type="dxa"/>
            <w:tcBorders/>
            <w:vAlign w:val="center"/>
          </w:tcPr>
          <w:p>
            <w:pPr>
              <w:pStyle w:val="TableContents"/>
              <w:bidi w:val="0"/>
              <w:spacing w:before="0" w:after="283"/>
              <w:jc w:val="left"/>
              <w:rPr/>
            </w:pPr>
            <w:r>
              <w:rPr/>
              <w:t> </w:t>
            </w:r>
          </w:p>
        </w:tc>
        <w:tc>
          <w:tcPr>
            <w:tcW w:w="1486" w:type="dxa"/>
            <w:tcBorders/>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(I.R.S. Employer</w:t>
            </w:r>
            <w:r>
              <w:rPr>
                <w:rFonts w:ascii="Times New Roman" w:hAnsi="Times New Roman"/>
                <w:color w:val="000000"/>
                <w:sz w:val="16"/>
              </w:rPr>
              <w:t xml:space="preserve"> </w:t>
            </w:r>
          </w:p>
        </w:tc>
      </w:tr>
      <w:tr>
        <w:trPr/>
        <w:tc>
          <w:tcPr>
            <w:tcW w:w="237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vAlign w:val="center"/>
          </w:tcPr>
          <w:p>
            <w:pPr>
              <w:pStyle w:val="TableContents"/>
              <w:bidi w:val="0"/>
              <w:spacing w:before="0" w:after="283"/>
              <w:jc w:val="left"/>
              <w:rPr/>
            </w:pPr>
            <w:r>
              <w:rPr/>
              <w:t> </w:t>
            </w:r>
          </w:p>
        </w:tc>
        <w:tc>
          <w:tcPr>
            <w:tcW w:w="148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7402 North Eldridge Parkway,</w:t>
      </w:r>
    </w:p>
    <w:p>
      <w:pPr>
        <w:pStyle w:val="TextBody"/>
        <w:bidi w:val="0"/>
        <w:jc w:val="center"/>
        <w:rPr>
          <w:rFonts w:ascii="Times New Roman" w:hAnsi="Times New Roman"/>
          <w:sz w:val="20"/>
        </w:rPr>
      </w:pPr>
      <w:r>
        <w:rPr>
          <w:rFonts w:ascii="Times New Roman" w:hAnsi="Times New Roman"/>
          <w:b/>
          <w:color w:val="000000"/>
          <w:sz w:val="20"/>
        </w:rPr>
        <w:t>Houston, Texas</w:t>
      </w:r>
      <w:r>
        <w:rPr>
          <w:rFonts w:ascii="Times New Roman" w:hAnsi="Times New Roman"/>
          <w:color w:val="000000"/>
          <w:sz w:val="20"/>
        </w:rPr>
        <w:t xml:space="preserve"> </w:t>
      </w:r>
      <w:r>
        <w:rPr>
          <w:rFonts w:ascii="Times New Roman" w:hAnsi="Times New Roman"/>
          <w:b/>
          <w:color w:val="000000"/>
          <w:sz w:val="20"/>
        </w:rPr>
        <w:t>77041</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(281) 823-4700</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Securities registered pursuant to Section 12(b) of the Act:</w:t>
      </w:r>
    </w:p>
    <w:p>
      <w:pPr>
        <w:pStyle w:val="TextBody"/>
        <w:bidi w:val="0"/>
        <w:spacing w:before="120" w:after="283"/>
        <w:jc w:val="left"/>
        <w:rPr/>
      </w:pPr>
      <w:r>
        <w:rPr/>
        <w:t> </w:t>
      </w:r>
    </w:p>
    <w:tbl>
      <w:tblPr>
        <w:tblW w:w="7450" w:type="dxa"/>
        <w:jc w:val="left"/>
        <w:tblInd w:w="0" w:type="dxa"/>
        <w:tblLayout w:type="fixed"/>
        <w:tblCellMar>
          <w:top w:w="28" w:type="dxa"/>
          <w:left w:w="28" w:type="dxa"/>
          <w:bottom w:w="28" w:type="dxa"/>
          <w:right w:w="28" w:type="dxa"/>
        </w:tblCellMar>
      </w:tblPr>
      <w:tblGrid>
        <w:gridCol w:w="2386"/>
        <w:gridCol w:w="146"/>
        <w:gridCol w:w="1456"/>
        <w:gridCol w:w="146"/>
        <w:gridCol w:w="3316"/>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38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5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2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Common Stock, par value $0.01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DNOW</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New York Stock Exchange</w:t>
            </w:r>
          </w:p>
        </w:tc>
      </w:tr>
    </w:tbl>
    <w:p>
      <w:pPr>
        <w:pStyle w:val="TextBody"/>
        <w:bidi w:val="0"/>
        <w:jc w:val="center"/>
        <w:rPr/>
      </w:pPr>
      <w:r>
        <w:rPr/>
        <w:t> </w:t>
      </w:r>
    </w:p>
    <w:p>
      <w:pPr>
        <w:pStyle w:val="TextBody"/>
        <w:bidi w:val="0"/>
        <w:spacing w:before="60" w:after="283"/>
        <w:jc w:val="left"/>
        <w:rPr>
          <w:rFonts w:ascii="Times New Roman" w:hAnsi="Times New Roman"/>
          <w:sz w:val="20"/>
        </w:rPr>
      </w:pPr>
      <w:r>
        <w:rPr>
          <w:rFonts w:ascii="Times New Roman" w:hAnsi="Times New Roman"/>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b w:val="false"/>
          <w:color w:val="000000"/>
          <w:sz w:val="20"/>
        </w:rPr>
        <w:t>No ☐</w:t>
      </w:r>
    </w:p>
    <w:p>
      <w:pPr>
        <w:pStyle w:val="TextBody"/>
        <w:bidi w:val="0"/>
        <w:spacing w:before="60" w:after="283"/>
        <w:jc w:val="left"/>
        <w:rPr>
          <w:rFonts w:ascii="Times New Roman" w:hAnsi="Times New Roman"/>
          <w:sz w:val="20"/>
        </w:rPr>
      </w:pPr>
      <w:r>
        <w:rPr>
          <w:rFonts w:ascii="Times New Roman" w:hAnsi="Times New Roman"/>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b w:val="false"/>
          <w:color w:val="000000"/>
          <w:sz w:val="20"/>
        </w:rPr>
        <w:t>No ☐</w:t>
      </w:r>
    </w:p>
    <w:p>
      <w:pPr>
        <w:pStyle w:val="TextBody"/>
        <w:bidi w:val="0"/>
        <w:spacing w:before="60" w:after="283"/>
        <w:jc w:val="left"/>
        <w:rPr>
          <w:rFonts w:ascii="Times New Roman" w:hAnsi="Times New Roman"/>
          <w:sz w:val="20"/>
        </w:rPr>
      </w:pPr>
      <w:r>
        <w:rPr>
          <w:rFonts w:ascii="Times New Roman" w:hAnsi="Times New Roman"/>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5493" w:type="dxa"/>
        <w:jc w:val="left"/>
        <w:tblInd w:w="0" w:type="dxa"/>
        <w:tblLayout w:type="fixed"/>
        <w:tblCellMar>
          <w:top w:w="28" w:type="dxa"/>
          <w:left w:w="28" w:type="dxa"/>
          <w:bottom w:w="28" w:type="dxa"/>
          <w:right w:w="28" w:type="dxa"/>
        </w:tblCellMar>
      </w:tblPr>
      <w:tblGrid>
        <w:gridCol w:w="1964"/>
        <w:gridCol w:w="146"/>
        <w:gridCol w:w="376"/>
        <w:gridCol w:w="146"/>
        <w:gridCol w:w="2311"/>
        <w:gridCol w:w="146"/>
        <w:gridCol w:w="404"/>
      </w:tblGrid>
      <w:tr>
        <w:trPr/>
        <w:tc>
          <w:tcPr>
            <w:tcW w:w="19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ind w:left="0" w:right="0" w:firstLine="43"/>
              <w:jc w:val="left"/>
              <w:rPr>
                <w:sz w:val="4"/>
                <w:szCs w:val="4"/>
              </w:rPr>
            </w:pPr>
            <w:r>
              <w:rPr>
                <w:sz w:val="4"/>
                <w:szCs w:val="4"/>
              </w:rPr>
            </w:r>
          </w:p>
        </w:tc>
      </w:tr>
      <w:tr>
        <w:trPr/>
        <w:tc>
          <w:tcPr>
            <w:tcW w:w="1964" w:type="dxa"/>
            <w:tcBorders/>
            <w:tcMar>
              <w:top w:w="0" w:type="dxa"/>
              <w:left w:w="0" w:type="dxa"/>
              <w:bottom w:w="0" w:type="dxa"/>
              <w:right w:w="0" w:type="dxa"/>
            </w:tcMar>
            <w:vAlign w:val="center"/>
          </w:tcPr>
          <w:p>
            <w:pPr>
              <w:pStyle w:val="TableContents"/>
              <w:bidi w:val="0"/>
              <w:spacing w:before="0" w:after="283"/>
              <w:ind w:left="43" w:right="0" w:firstLine="43"/>
              <w:jc w:val="left"/>
              <w:rPr>
                <w:rFonts w:ascii="Times New Roman" w:hAnsi="Times New Roman"/>
                <w:b w:val="false"/>
                <w:color w:val="000000"/>
                <w:sz w:val="20"/>
              </w:rPr>
            </w:pPr>
            <w:r>
              <w:rPr>
                <w:rFonts w:ascii="Times New Roman" w:hAnsi="Times New Roman"/>
                <w:b w:val="false"/>
                <w:color w:val="000000"/>
                <w:sz w:val="20"/>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cMar>
              <w:top w:w="0" w:type="dxa"/>
              <w:left w:w="0" w:type="dxa"/>
              <w:bottom w:w="0" w:type="dxa"/>
              <w:right w:w="0" w:type="dxa"/>
            </w:tcMar>
            <w:vAlign w:val="center"/>
          </w:tcPr>
          <w:p>
            <w:pPr>
              <w:pStyle w:val="TableContents"/>
              <w:bidi w:val="0"/>
              <w:spacing w:before="0" w:after="283"/>
              <w:ind w:left="0" w:right="0" w:firstLine="43"/>
              <w:jc w:val="left"/>
              <w:rPr>
                <w:color w:val="000000"/>
              </w:rPr>
            </w:pPr>
            <w:r>
              <w:rPr>
                <w:color w:val="000000"/>
              </w:rPr>
              <w:t>☐</w:t>
            </w:r>
          </w:p>
        </w:tc>
      </w:tr>
      <w:tr>
        <w:trPr/>
        <w:tc>
          <w:tcPr>
            <w:tcW w:w="1964" w:type="dxa"/>
            <w:tcBorders/>
            <w:tcMar>
              <w:top w:w="0" w:type="dxa"/>
              <w:left w:w="0" w:type="dxa"/>
              <w:bottom w:w="0" w:type="dxa"/>
              <w:right w:w="0" w:type="dxa"/>
            </w:tcMar>
            <w:vAlign w:val="center"/>
          </w:tcPr>
          <w:p>
            <w:pPr>
              <w:pStyle w:val="TableContents"/>
              <w:bidi w:val="0"/>
              <w:spacing w:before="0" w:after="283"/>
              <w:ind w:left="43" w:right="0" w:firstLine="43"/>
              <w:jc w:val="left"/>
              <w:rPr/>
            </w:pPr>
            <w:r>
              <w:rPr/>
              <w:t> </w:t>
            </w:r>
          </w:p>
        </w:tc>
        <w:tc>
          <w:tcPr>
            <w:tcW w:w="52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4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50" w:type="dxa"/>
            <w:gridSpan w:val="2"/>
            <w:tcBorders/>
            <w:tcMar>
              <w:top w:w="0" w:type="dxa"/>
              <w:left w:w="0" w:type="dxa"/>
              <w:bottom w:w="0" w:type="dxa"/>
              <w:right w:w="0" w:type="dxa"/>
            </w:tcMar>
            <w:vAlign w:val="center"/>
          </w:tcPr>
          <w:p>
            <w:pPr>
              <w:pStyle w:val="TableContents"/>
              <w:bidi w:val="0"/>
              <w:spacing w:before="0" w:after="283"/>
              <w:ind w:left="0" w:right="0" w:firstLine="43"/>
              <w:jc w:val="left"/>
              <w:rPr/>
            </w:pPr>
            <w:r>
              <w:rPr/>
              <w:t> </w:t>
            </w:r>
          </w:p>
        </w:tc>
      </w:tr>
      <w:tr>
        <w:trPr/>
        <w:tc>
          <w:tcPr>
            <w:tcW w:w="1964" w:type="dxa"/>
            <w:tcBorders/>
            <w:tcMar>
              <w:top w:w="0" w:type="dxa"/>
              <w:left w:w="0" w:type="dxa"/>
              <w:bottom w:w="0" w:type="dxa"/>
              <w:right w:w="0" w:type="dxa"/>
            </w:tcMar>
            <w:vAlign w:val="center"/>
          </w:tcPr>
          <w:p>
            <w:pPr>
              <w:pStyle w:val="TableContents"/>
              <w:bidi w:val="0"/>
              <w:spacing w:before="0" w:after="283"/>
              <w:ind w:left="43" w:right="0" w:firstLine="43"/>
              <w:jc w:val="left"/>
              <w:rPr>
                <w:rFonts w:ascii="Times New Roman" w:hAnsi="Times New Roman"/>
                <w:b w:val="false"/>
                <w:color w:val="000000"/>
                <w:sz w:val="20"/>
              </w:rPr>
            </w:pPr>
            <w:r>
              <w:rPr>
                <w:rFonts w:ascii="Times New Roman" w:hAnsi="Times New Roman"/>
                <w:b w:val="false"/>
                <w:color w:val="000000"/>
                <w:sz w:val="20"/>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cMar>
              <w:top w:w="0" w:type="dxa"/>
              <w:left w:w="0" w:type="dxa"/>
              <w:bottom w:w="0" w:type="dxa"/>
              <w:right w:w="0" w:type="dxa"/>
            </w:tcMar>
            <w:vAlign w:val="center"/>
          </w:tcPr>
          <w:p>
            <w:pPr>
              <w:pStyle w:val="TableContents"/>
              <w:bidi w:val="0"/>
              <w:spacing w:before="0" w:after="283"/>
              <w:ind w:left="0" w:right="0" w:firstLine="43"/>
              <w:jc w:val="left"/>
              <w:rPr>
                <w:color w:val="000000"/>
              </w:rPr>
            </w:pPr>
            <w:r>
              <w:rPr>
                <w:color w:val="000000"/>
              </w:rPr>
              <w:t>☐</w:t>
            </w:r>
          </w:p>
        </w:tc>
      </w:tr>
      <w:tr>
        <w:trPr/>
        <w:tc>
          <w:tcPr>
            <w:tcW w:w="1964" w:type="dxa"/>
            <w:tcBorders/>
            <w:tcMar>
              <w:top w:w="0" w:type="dxa"/>
              <w:left w:w="0" w:type="dxa"/>
              <w:bottom w:w="0" w:type="dxa"/>
              <w:right w:w="0" w:type="dxa"/>
            </w:tcMar>
            <w:vAlign w:val="center"/>
          </w:tcPr>
          <w:p>
            <w:pPr>
              <w:pStyle w:val="TableContents"/>
              <w:bidi w:val="0"/>
              <w:spacing w:before="0" w:after="283"/>
              <w:ind w:left="43" w:right="0" w:firstLine="4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tcMar>
              <w:top w:w="0" w:type="dxa"/>
              <w:left w:w="0" w:type="dxa"/>
              <w:bottom w:w="0" w:type="dxa"/>
              <w:right w:w="0" w:type="dxa"/>
            </w:tcMar>
            <w:vAlign w:val="center"/>
          </w:tcPr>
          <w:p>
            <w:pPr>
              <w:pStyle w:val="TableContents"/>
              <w:bidi w:val="0"/>
              <w:spacing w:before="0" w:after="283"/>
              <w:ind w:left="0" w:right="0" w:firstLine="43"/>
              <w:jc w:val="left"/>
              <w:rPr/>
            </w:pPr>
            <w:r>
              <w:rPr/>
              <w:t> </w:t>
            </w:r>
          </w:p>
        </w:tc>
      </w:tr>
      <w:tr>
        <w:trPr/>
        <w:tc>
          <w:tcPr>
            <w:tcW w:w="1964" w:type="dxa"/>
            <w:tcBorders/>
            <w:tcMar>
              <w:top w:w="0" w:type="dxa"/>
              <w:left w:w="0" w:type="dxa"/>
              <w:bottom w:w="0" w:type="dxa"/>
              <w:right w:w="0" w:type="dxa"/>
            </w:tcMar>
            <w:vAlign w:val="center"/>
          </w:tcPr>
          <w:p>
            <w:pPr>
              <w:pStyle w:val="TableContents"/>
              <w:bidi w:val="0"/>
              <w:spacing w:before="0" w:after="283"/>
              <w:ind w:left="43" w:right="0" w:firstLine="4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60" w:after="283"/>
        <w:jc w:val="left"/>
        <w:rPr>
          <w:rFonts w:ascii="Times New Roman" w:hAnsi="Times New Roman"/>
          <w:b w:val="false"/>
          <w:color w:val="000000"/>
          <w:sz w:val="20"/>
        </w:rPr>
      </w:pPr>
      <w:r>
        <w:rPr>
          <w:rFonts w:ascii="Times New Roman" w:hAnsi="Times New Roman"/>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60" w:after="283"/>
        <w:jc w:val="left"/>
        <w:rPr>
          <w:rFonts w:ascii="Times New Roman" w:hAnsi="Times New Roman"/>
          <w:sz w:val="20"/>
        </w:rPr>
      </w:pPr>
      <w:r>
        <w:rPr>
          <w:rFonts w:ascii="Times New Roman" w:hAnsi="Times New Roman"/>
          <w:b w:val="false"/>
          <w:color w:val="000000"/>
          <w:sz w:val="20"/>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pBdr>
          <w:bottom w:val="double" w:sz="6" w:space="1" w:color="000000"/>
        </w:pBdr>
        <w:bidi w:val="0"/>
        <w:spacing w:before="60" w:after="283"/>
        <w:jc w:val="left"/>
        <w:rPr>
          <w:rFonts w:ascii="Times New Roman" w:hAnsi="Times New Roman"/>
          <w:sz w:val="20"/>
        </w:rPr>
      </w:pPr>
      <w:r>
        <w:rPr>
          <w:rFonts w:ascii="Times New Roman" w:hAnsi="Times New Roman"/>
          <w:b w:val="false"/>
          <w:color w:val="000000"/>
          <w:sz w:val="20"/>
        </w:rPr>
        <w:t>As of October 26, 2023, the registrant had 106,331,159</w:t>
      </w:r>
      <w:r>
        <w:rPr>
          <w:rFonts w:ascii="Times New Roman" w:hAnsi="Times New Roman"/>
          <w:color w:val="000000"/>
          <w:sz w:val="20"/>
        </w:rPr>
        <w:t xml:space="preserve"> </w:t>
      </w:r>
      <w:r>
        <w:rPr>
          <w:rFonts w:ascii="Times New Roman" w:hAnsi="Times New Roman"/>
          <w:b w:val="false"/>
          <w:color w:val="000000"/>
          <w:sz w:val="20"/>
        </w:rPr>
        <w:t>shares of common stock (excluding 1,842,872</w:t>
      </w:r>
      <w:r>
        <w:rPr>
          <w:rFonts w:ascii="Times New Roman" w:hAnsi="Times New Roman"/>
          <w:color w:val="FF0000"/>
          <w:sz w:val="20"/>
        </w:rPr>
        <w:t xml:space="preserve"> </w:t>
      </w:r>
      <w:r>
        <w:rPr>
          <w:rFonts w:ascii="Times New Roman" w:hAnsi="Times New Roman"/>
          <w:b w:val="false"/>
          <w:color w:val="000000"/>
          <w:sz w:val="20"/>
        </w:rPr>
        <w:t>unvested restricted shares), par value $0.01 per share, outstanding.</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NOW INC.</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val="false"/>
          <w:color w:val="000000"/>
          <w:sz w:val="20"/>
          <w:u w:val="single"/>
        </w:rPr>
        <w:t>TABLE OF CONTENTS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74"/>
        <w:gridCol w:w="391"/>
        <w:gridCol w:w="8517"/>
        <w:gridCol w:w="146"/>
        <w:gridCol w:w="377"/>
      </w:tblGrid>
      <w:tr>
        <w:trPr/>
        <w:tc>
          <w:tcPr>
            <w:tcW w:w="77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85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10205" w:type="dxa"/>
            <w:gridSpan w:val="5"/>
            <w:tcBorders/>
            <w:tcMar>
              <w:top w:w="0" w:type="dxa"/>
              <w:left w:w="0" w:type="dxa"/>
              <w:bottom w:w="0" w:type="dxa"/>
              <w:right w:w="0" w:type="dxa"/>
            </w:tcMar>
            <w:vAlign w:val="center"/>
          </w:tcPr>
          <w:p>
            <w:pPr>
              <w:pStyle w:val="TableContents"/>
              <w:pBdr/>
              <w:bidi w:val="0"/>
              <w:spacing w:before="0" w:after="283"/>
              <w:ind w:left="0" w:right="0" w:hanging="245"/>
              <w:jc w:val="left"/>
              <w:rPr/>
            </w:pPr>
            <w:hyperlink w:anchor="part_i_financial_information">
              <w:r>
                <w:rPr>
                  <w:rStyle w:val="InternetLink"/>
                  <w:rFonts w:ascii="Times New Roman" w:hAnsi="Times New Roman"/>
                  <w:b/>
                  <w:color w:val="0000FF"/>
                  <w:sz w:val="20"/>
                  <w:u w:val="single"/>
                </w:rPr>
                <w:t>Part I - Financial Information</w:t>
              </w:r>
            </w:hyperlink>
          </w:p>
        </w:tc>
      </w:tr>
      <w:tr>
        <w:trPr/>
        <w:tc>
          <w:tcPr>
            <w:tcW w:w="774"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5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774" w:type="dxa"/>
            <w:tcBorders/>
            <w:tcMar>
              <w:top w:w="0" w:type="dxa"/>
              <w:left w:w="0" w:type="dxa"/>
              <w:bottom w:w="0" w:type="dxa"/>
              <w:right w:w="0" w:type="dxa"/>
            </w:tcMar>
            <w:vAlign w:val="center"/>
          </w:tcPr>
          <w:p>
            <w:pPr>
              <w:pStyle w:val="TableContents"/>
              <w:bidi w:val="0"/>
              <w:spacing w:before="0" w:after="283"/>
              <w:ind w:left="144" w:right="0" w:firstLine="144"/>
              <w:jc w:val="left"/>
              <w:rPr>
                <w:rFonts w:ascii="Times New Roman" w:hAnsi="Times New Roman"/>
                <w:b w:val="false"/>
                <w:color w:val="000000"/>
                <w:sz w:val="20"/>
              </w:rPr>
            </w:pPr>
            <w:r>
              <w:rPr>
                <w:rFonts w:ascii="Times New Roman" w:hAnsi="Times New Roman"/>
                <w:b w:val="false"/>
                <w:color w:val="000000"/>
                <w:sz w:val="20"/>
              </w:rPr>
              <w:t>Item 1.</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517" w:type="dxa"/>
            <w:tcBorders/>
            <w:tcMar>
              <w:top w:w="0" w:type="dxa"/>
              <w:left w:w="0" w:type="dxa"/>
              <w:bottom w:w="0" w:type="dxa"/>
              <w:right w:w="0" w:type="dxa"/>
            </w:tcMar>
            <w:vAlign w:val="center"/>
          </w:tcPr>
          <w:p>
            <w:pPr>
              <w:pStyle w:val="TableContents"/>
              <w:pBdr/>
              <w:bidi w:val="0"/>
              <w:spacing w:before="0" w:after="283"/>
              <w:ind w:left="0" w:right="0" w:firstLine="245"/>
              <w:jc w:val="left"/>
              <w:rPr/>
            </w:pPr>
            <w:hyperlink w:anchor="item_1_financial_statements">
              <w:r>
                <w:rPr>
                  <w:rStyle w:val="InternetLink"/>
                  <w:rFonts w:ascii="Times New Roman" w:hAnsi="Times New Roman"/>
                  <w:b w:val="false"/>
                  <w:color w:val="0000FF"/>
                  <w:sz w:val="20"/>
                  <w:u w:val="single"/>
                </w:rPr>
                <w:t>Financial Statements</w:t>
              </w:r>
            </w:hyperlink>
          </w:p>
        </w:tc>
        <w:tc>
          <w:tcPr>
            <w:tcW w:w="146" w:type="dxa"/>
            <w:tcBorders/>
            <w:tcMar>
              <w:top w:w="0" w:type="dxa"/>
              <w:left w:w="0" w:type="dxa"/>
              <w:bottom w:w="0" w:type="dxa"/>
              <w:right w:w="0" w:type="dxa"/>
            </w:tcMar>
            <w:vAlign w:val="center"/>
          </w:tcPr>
          <w:p>
            <w:pPr>
              <w:pStyle w:val="TableContents"/>
              <w:pBdr/>
              <w:bidi w:val="0"/>
              <w:spacing w:before="0" w:after="283"/>
              <w:ind w:left="68" w:right="0" w:hanging="177"/>
              <w:jc w:val="left"/>
              <w:rPr/>
            </w:pPr>
            <w:r>
              <w:rPr/>
              <w:t> </w:t>
            </w:r>
          </w:p>
        </w:tc>
        <w:tc>
          <w:tcPr>
            <w:tcW w:w="37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r>
      <w:tr>
        <w:trPr/>
        <w:tc>
          <w:tcPr>
            <w:tcW w:w="774"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5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4"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517" w:type="dxa"/>
            <w:tcBorders/>
            <w:tcMar>
              <w:top w:w="0" w:type="dxa"/>
              <w:left w:w="0" w:type="dxa"/>
              <w:bottom w:w="0" w:type="dxa"/>
              <w:right w:w="0" w:type="dxa"/>
            </w:tcMar>
            <w:vAlign w:val="center"/>
          </w:tcPr>
          <w:p>
            <w:pPr>
              <w:pStyle w:val="TableContents"/>
              <w:pBdr/>
              <w:bidi w:val="0"/>
              <w:spacing w:before="0" w:after="283"/>
              <w:ind w:left="68" w:right="0" w:hanging="177"/>
              <w:jc w:val="left"/>
              <w:rPr/>
            </w:pPr>
            <w:hyperlink w:anchor="consolidated_balance_sheets">
              <w:r>
                <w:rPr>
                  <w:rStyle w:val="InternetLink"/>
                  <w:rFonts w:ascii="Times New Roman" w:hAnsi="Times New Roman"/>
                  <w:b w:val="false"/>
                  <w:color w:val="0000FF"/>
                  <w:sz w:val="20"/>
                  <w:u w:val="single"/>
                </w:rPr>
                <w:t>Consolidated Balance Sheets as of September 30, 2023 (Unaudited) and December 31, 2022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r>
      <w:tr>
        <w:trPr/>
        <w:tc>
          <w:tcPr>
            <w:tcW w:w="774"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517" w:type="dxa"/>
            <w:tcBorders/>
            <w:tcMar>
              <w:top w:w="0" w:type="dxa"/>
              <w:left w:w="0" w:type="dxa"/>
              <w:bottom w:w="0" w:type="dxa"/>
              <w:right w:w="0" w:type="dxa"/>
            </w:tcMar>
            <w:vAlign w:val="center"/>
          </w:tcPr>
          <w:p>
            <w:pPr>
              <w:pStyle w:val="TableContents"/>
              <w:pBdr/>
              <w:bidi w:val="0"/>
              <w:spacing w:before="0" w:after="283"/>
              <w:ind w:left="68" w:right="0" w:hanging="177"/>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74"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517" w:type="dxa"/>
            <w:tcBorders/>
            <w:tcMar>
              <w:top w:w="0" w:type="dxa"/>
              <w:left w:w="0" w:type="dxa"/>
              <w:bottom w:w="0" w:type="dxa"/>
              <w:right w:w="0" w:type="dxa"/>
            </w:tcMar>
            <w:vAlign w:val="center"/>
          </w:tcPr>
          <w:p>
            <w:pPr>
              <w:pStyle w:val="TableContents"/>
              <w:pBdr/>
              <w:bidi w:val="0"/>
              <w:spacing w:before="0" w:after="283"/>
              <w:ind w:left="68" w:right="0" w:hanging="177"/>
              <w:jc w:val="left"/>
              <w:rPr/>
            </w:pPr>
            <w:hyperlink w:anchor="consolidated_statements_income_unaudited">
              <w:r>
                <w:rPr>
                  <w:rStyle w:val="InternetLink"/>
                  <w:rFonts w:ascii="Times New Roman" w:hAnsi="Times New Roman"/>
                  <w:b w:val="false"/>
                  <w:color w:val="0000FF"/>
                  <w:sz w:val="20"/>
                  <w:u w:val="single"/>
                </w:rPr>
                <w:t>Consolidated Statements of Operations (Unaudited) for the three and nine months ended September 30, 2023 and 2022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r>
      <w:tr>
        <w:trPr/>
        <w:tc>
          <w:tcPr>
            <w:tcW w:w="774"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517" w:type="dxa"/>
            <w:tcBorders/>
            <w:tcMar>
              <w:top w:w="0" w:type="dxa"/>
              <w:left w:w="0" w:type="dxa"/>
              <w:bottom w:w="0" w:type="dxa"/>
              <w:right w:w="0" w:type="dxa"/>
            </w:tcMar>
            <w:vAlign w:val="center"/>
          </w:tcPr>
          <w:p>
            <w:pPr>
              <w:pStyle w:val="TableContents"/>
              <w:pBdr/>
              <w:bidi w:val="0"/>
              <w:spacing w:before="0" w:after="283"/>
              <w:ind w:left="68" w:right="0" w:hanging="177"/>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74"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517" w:type="dxa"/>
            <w:tcBorders/>
            <w:tcMar>
              <w:top w:w="0" w:type="dxa"/>
              <w:left w:w="0" w:type="dxa"/>
              <w:bottom w:w="0" w:type="dxa"/>
              <w:right w:w="0" w:type="dxa"/>
            </w:tcMar>
            <w:vAlign w:val="center"/>
          </w:tcPr>
          <w:p>
            <w:pPr>
              <w:pStyle w:val="TableContents"/>
              <w:pBdr/>
              <w:bidi w:val="0"/>
              <w:spacing w:before="0" w:after="283"/>
              <w:ind w:left="68" w:right="0" w:hanging="177"/>
              <w:jc w:val="left"/>
              <w:rPr/>
            </w:pPr>
            <w:hyperlink w:anchor="consolidated_statements_comprehensive_in">
              <w:r>
                <w:rPr>
                  <w:rStyle w:val="InternetLink"/>
                  <w:rFonts w:ascii="Times New Roman" w:hAnsi="Times New Roman"/>
                  <w:b w:val="false"/>
                  <w:color w:val="0000FF"/>
                  <w:sz w:val="20"/>
                  <w:u w:val="single"/>
                </w:rPr>
                <w:t>Consolidated Statements of Comprehensive Income (Unaudited) for the three and nine months ended September 30, 2023 and 2022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r>
      <w:tr>
        <w:trPr/>
        <w:tc>
          <w:tcPr>
            <w:tcW w:w="774"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517" w:type="dxa"/>
            <w:tcBorders/>
            <w:tcMar>
              <w:top w:w="0" w:type="dxa"/>
              <w:left w:w="0" w:type="dxa"/>
              <w:bottom w:w="0" w:type="dxa"/>
              <w:right w:w="0" w:type="dxa"/>
            </w:tcMar>
            <w:vAlign w:val="center"/>
          </w:tcPr>
          <w:p>
            <w:pPr>
              <w:pStyle w:val="TableContents"/>
              <w:pBdr/>
              <w:bidi w:val="0"/>
              <w:spacing w:before="0" w:after="283"/>
              <w:ind w:left="68" w:right="0" w:hanging="177"/>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74"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517" w:type="dxa"/>
            <w:tcBorders/>
            <w:tcMar>
              <w:top w:w="0" w:type="dxa"/>
              <w:left w:w="0" w:type="dxa"/>
              <w:bottom w:w="0" w:type="dxa"/>
              <w:right w:w="0" w:type="dxa"/>
            </w:tcMar>
            <w:vAlign w:val="center"/>
          </w:tcPr>
          <w:p>
            <w:pPr>
              <w:pStyle w:val="TableContents"/>
              <w:pBdr/>
              <w:bidi w:val="0"/>
              <w:spacing w:before="0" w:after="283"/>
              <w:ind w:left="68" w:right="0" w:hanging="177"/>
              <w:jc w:val="left"/>
              <w:rPr/>
            </w:pPr>
            <w:hyperlink w:anchor="consolidated_statements_cash_flows_unaud">
              <w:r>
                <w:rPr>
                  <w:rStyle w:val="InternetLink"/>
                  <w:rFonts w:ascii="Times New Roman" w:hAnsi="Times New Roman"/>
                  <w:b w:val="false"/>
                  <w:color w:val="0000FF"/>
                  <w:sz w:val="20"/>
                  <w:u w:val="single"/>
                </w:rPr>
                <w:t>Consolidated Statements of Cash Flows (Unaudited) for the nine months ended September 30, 2023 and 2022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w:t>
            </w:r>
          </w:p>
        </w:tc>
      </w:tr>
      <w:tr>
        <w:trPr/>
        <w:tc>
          <w:tcPr>
            <w:tcW w:w="774"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517" w:type="dxa"/>
            <w:tcBorders/>
            <w:tcMar>
              <w:top w:w="0" w:type="dxa"/>
              <w:left w:w="0" w:type="dxa"/>
              <w:bottom w:w="0" w:type="dxa"/>
              <w:right w:w="0" w:type="dxa"/>
            </w:tcMar>
            <w:vAlign w:val="center"/>
          </w:tcPr>
          <w:p>
            <w:pPr>
              <w:pStyle w:val="TableContents"/>
              <w:pBdr/>
              <w:bidi w:val="0"/>
              <w:spacing w:before="0" w:after="283"/>
              <w:ind w:left="68" w:right="0" w:hanging="177"/>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74"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517" w:type="dxa"/>
            <w:tcBorders/>
            <w:tcMar>
              <w:top w:w="0" w:type="dxa"/>
              <w:left w:w="0" w:type="dxa"/>
              <w:bottom w:w="0" w:type="dxa"/>
              <w:right w:w="0" w:type="dxa"/>
            </w:tcMar>
            <w:vAlign w:val="center"/>
          </w:tcPr>
          <w:p>
            <w:pPr>
              <w:pStyle w:val="TableContents"/>
              <w:pBdr/>
              <w:bidi w:val="0"/>
              <w:spacing w:before="0" w:after="283"/>
              <w:ind w:left="68" w:right="0" w:hanging="177"/>
              <w:jc w:val="left"/>
              <w:rPr/>
            </w:pPr>
            <w:hyperlink w:anchor="consolidated_statements_stockhold_unaud">
              <w:r>
                <w:rPr>
                  <w:rStyle w:val="InternetLink"/>
                  <w:rFonts w:ascii="Times New Roman" w:hAnsi="Times New Roman"/>
                  <w:b w:val="false"/>
                  <w:color w:val="0000FF"/>
                  <w:sz w:val="20"/>
                  <w:u w:val="single"/>
                </w:rPr>
                <w:t>Consolidated Statements of Stockholders' Equity (Unaudited) for the three</w:t>
              </w:r>
            </w:hyperlink>
            <w:hyperlink w:anchor="consolidated_statements_stockhold_unaud">
              <w:r>
                <w:rPr>
                  <w:rStyle w:val="InternetLink"/>
                  <w:rFonts w:ascii="Times New Roman" w:hAnsi="Times New Roman"/>
                  <w:color w:val="0000FF"/>
                  <w:sz w:val="20"/>
                </w:rPr>
                <w:t xml:space="preserve"> </w:t>
              </w:r>
            </w:hyperlink>
            <w:hyperlink w:anchor="consolidated_statements_income_unaudited">
              <w:r>
                <w:rPr>
                  <w:rStyle w:val="InternetLink"/>
                  <w:rFonts w:ascii="Times New Roman" w:hAnsi="Times New Roman"/>
                  <w:b w:val="false"/>
                  <w:color w:val="000080"/>
                  <w:sz w:val="20"/>
                  <w:u w:val="single"/>
                </w:rPr>
                <w:t>and nine months ended September 30</w:t>
              </w:r>
            </w:hyperlink>
            <w:hyperlink w:anchor="consolidated_statements_cash_flows_unaud">
              <w:r>
                <w:rPr>
                  <w:rStyle w:val="InternetLink"/>
                  <w:rFonts w:ascii="Times New Roman" w:hAnsi="Times New Roman"/>
                  <w:b w:val="false"/>
                  <w:color w:val="000080"/>
                  <w:sz w:val="20"/>
                  <w:u w:val="single"/>
                </w:rPr>
                <w:t>, 2023 and 2022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r>
      <w:tr>
        <w:trPr/>
        <w:tc>
          <w:tcPr>
            <w:tcW w:w="774"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517" w:type="dxa"/>
            <w:tcBorders/>
            <w:tcMar>
              <w:top w:w="0" w:type="dxa"/>
              <w:left w:w="0" w:type="dxa"/>
              <w:bottom w:w="0" w:type="dxa"/>
              <w:right w:w="0" w:type="dxa"/>
            </w:tcMar>
            <w:vAlign w:val="center"/>
          </w:tcPr>
          <w:p>
            <w:pPr>
              <w:pStyle w:val="TableContents"/>
              <w:pBdr/>
              <w:bidi w:val="0"/>
              <w:spacing w:before="0" w:after="283"/>
              <w:ind w:left="68" w:right="0" w:hanging="177"/>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74"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517" w:type="dxa"/>
            <w:tcBorders/>
            <w:tcMar>
              <w:top w:w="0" w:type="dxa"/>
              <w:left w:w="0" w:type="dxa"/>
              <w:bottom w:w="0" w:type="dxa"/>
              <w:right w:w="0" w:type="dxa"/>
            </w:tcMar>
            <w:vAlign w:val="center"/>
          </w:tcPr>
          <w:p>
            <w:pPr>
              <w:pStyle w:val="TableContents"/>
              <w:pBdr/>
              <w:bidi w:val="0"/>
              <w:spacing w:before="0" w:after="283"/>
              <w:ind w:left="68" w:right="0" w:hanging="177"/>
              <w:jc w:val="left"/>
              <w:rPr/>
            </w:pPr>
            <w:hyperlink w:anchor="notes_to_unaudited_consolidated_financia">
              <w:r>
                <w:rPr>
                  <w:rStyle w:val="InternetLink"/>
                  <w:rFonts w:ascii="Times New Roman" w:hAnsi="Times New Roman"/>
                  <w:b w:val="false"/>
                  <w:color w:val="0000FF"/>
                  <w:sz w:val="20"/>
                  <w:u w:val="single"/>
                </w:rPr>
                <w:t>Notes to Unaudited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w:t>
            </w:r>
          </w:p>
        </w:tc>
      </w:tr>
      <w:tr>
        <w:trPr/>
        <w:tc>
          <w:tcPr>
            <w:tcW w:w="774"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517" w:type="dxa"/>
            <w:tcBorders/>
            <w:tcMar>
              <w:top w:w="0" w:type="dxa"/>
              <w:left w:w="0" w:type="dxa"/>
              <w:bottom w:w="0" w:type="dxa"/>
              <w:right w:w="0" w:type="dxa"/>
            </w:tcMar>
            <w:vAlign w:val="center"/>
          </w:tcPr>
          <w:p>
            <w:pPr>
              <w:pStyle w:val="TableContents"/>
              <w:pBdr/>
              <w:bidi w:val="0"/>
              <w:spacing w:before="0" w:after="283"/>
              <w:ind w:left="68" w:right="0" w:hanging="177"/>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tcMar>
              <w:top w:w="0" w:type="dxa"/>
              <w:left w:w="0" w:type="dxa"/>
              <w:bottom w:w="0" w:type="dxa"/>
              <w:right w:w="0" w:type="dxa"/>
            </w:tcMar>
            <w:vAlign w:val="center"/>
          </w:tcPr>
          <w:p>
            <w:pPr>
              <w:pStyle w:val="TableContents"/>
              <w:bidi w:val="0"/>
              <w:spacing w:before="0" w:after="283"/>
              <w:ind w:left="0" w:right="0" w:firstLine="144"/>
              <w:jc w:val="right"/>
              <w:rPr/>
            </w:pPr>
            <w:r>
              <w:rPr/>
              <w:t> </w:t>
            </w:r>
          </w:p>
        </w:tc>
      </w:tr>
      <w:tr>
        <w:trPr/>
        <w:tc>
          <w:tcPr>
            <w:tcW w:w="774" w:type="dxa"/>
            <w:tcBorders/>
            <w:tcMar>
              <w:top w:w="0" w:type="dxa"/>
              <w:left w:w="0" w:type="dxa"/>
              <w:bottom w:w="0" w:type="dxa"/>
              <w:right w:w="0" w:type="dxa"/>
            </w:tcMar>
            <w:vAlign w:val="center"/>
          </w:tcPr>
          <w:p>
            <w:pPr>
              <w:pStyle w:val="TableContents"/>
              <w:bidi w:val="0"/>
              <w:spacing w:before="0" w:after="283"/>
              <w:ind w:left="144" w:right="0" w:firstLine="144"/>
              <w:jc w:val="left"/>
              <w:rPr>
                <w:rFonts w:ascii="Times New Roman" w:hAnsi="Times New Roman"/>
                <w:b w:val="false"/>
                <w:color w:val="000000"/>
                <w:sz w:val="20"/>
              </w:rPr>
            </w:pPr>
            <w:r>
              <w:rPr>
                <w:rFonts w:ascii="Times New Roman" w:hAnsi="Times New Roman"/>
                <w:b w:val="false"/>
                <w:color w:val="000000"/>
                <w:sz w:val="20"/>
              </w:rPr>
              <w:t>Item 2.</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517" w:type="dxa"/>
            <w:tcBorders/>
            <w:tcMar>
              <w:top w:w="0" w:type="dxa"/>
              <w:left w:w="0" w:type="dxa"/>
              <w:bottom w:w="0" w:type="dxa"/>
              <w:right w:w="0" w:type="dxa"/>
            </w:tcMar>
            <w:vAlign w:val="center"/>
          </w:tcPr>
          <w:p>
            <w:pPr>
              <w:pStyle w:val="TableContents"/>
              <w:pBdr/>
              <w:bidi w:val="0"/>
              <w:spacing w:before="0" w:after="283"/>
              <w:ind w:left="68" w:right="0" w:hanging="177"/>
              <w:jc w:val="left"/>
              <w:rPr/>
            </w:pPr>
            <w:hyperlink w:anchor="item_2_managements_discussion_analysis_f">
              <w:r>
                <w:rPr>
                  <w:rStyle w:val="InternetLink"/>
                  <w:rFonts w:ascii="Times New Roman" w:hAnsi="Times New Roman"/>
                  <w:b w:val="false"/>
                  <w:color w:val="0000FF"/>
                  <w:sz w:val="20"/>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w:t>
            </w:r>
          </w:p>
        </w:tc>
      </w:tr>
      <w:tr>
        <w:trPr/>
        <w:tc>
          <w:tcPr>
            <w:tcW w:w="774"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517" w:type="dxa"/>
            <w:tcBorders/>
            <w:tcMar>
              <w:top w:w="0" w:type="dxa"/>
              <w:left w:w="0" w:type="dxa"/>
              <w:bottom w:w="0" w:type="dxa"/>
              <w:right w:w="0" w:type="dxa"/>
            </w:tcMar>
            <w:vAlign w:val="center"/>
          </w:tcPr>
          <w:p>
            <w:pPr>
              <w:pStyle w:val="TableContents"/>
              <w:pBdr/>
              <w:bidi w:val="0"/>
              <w:spacing w:before="0" w:after="283"/>
              <w:ind w:left="68" w:right="0" w:hanging="177"/>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tcMar>
              <w:top w:w="0" w:type="dxa"/>
              <w:left w:w="0" w:type="dxa"/>
              <w:bottom w:w="0" w:type="dxa"/>
              <w:right w:w="0" w:type="dxa"/>
            </w:tcMar>
            <w:vAlign w:val="center"/>
          </w:tcPr>
          <w:p>
            <w:pPr>
              <w:pStyle w:val="TableContents"/>
              <w:bidi w:val="0"/>
              <w:spacing w:before="0" w:after="283"/>
              <w:ind w:left="0" w:right="0" w:firstLine="144"/>
              <w:jc w:val="right"/>
              <w:rPr/>
            </w:pPr>
            <w:r>
              <w:rPr/>
              <w:t> </w:t>
            </w:r>
          </w:p>
        </w:tc>
      </w:tr>
      <w:tr>
        <w:trPr/>
        <w:tc>
          <w:tcPr>
            <w:tcW w:w="774" w:type="dxa"/>
            <w:tcBorders/>
            <w:tcMar>
              <w:top w:w="0" w:type="dxa"/>
              <w:left w:w="0" w:type="dxa"/>
              <w:bottom w:w="0" w:type="dxa"/>
              <w:right w:w="0" w:type="dxa"/>
            </w:tcMar>
            <w:vAlign w:val="center"/>
          </w:tcPr>
          <w:p>
            <w:pPr>
              <w:pStyle w:val="TableContents"/>
              <w:bidi w:val="0"/>
              <w:spacing w:before="0" w:after="283"/>
              <w:ind w:left="144" w:right="0" w:firstLine="144"/>
              <w:jc w:val="left"/>
              <w:rPr>
                <w:rFonts w:ascii="Times New Roman" w:hAnsi="Times New Roman"/>
                <w:b w:val="false"/>
                <w:color w:val="000000"/>
                <w:sz w:val="20"/>
              </w:rPr>
            </w:pPr>
            <w:r>
              <w:rPr>
                <w:rFonts w:ascii="Times New Roman" w:hAnsi="Times New Roman"/>
                <w:b w:val="false"/>
                <w:color w:val="000000"/>
                <w:sz w:val="20"/>
              </w:rPr>
              <w:t>Item 3.</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517" w:type="dxa"/>
            <w:tcBorders/>
            <w:tcMar>
              <w:top w:w="0" w:type="dxa"/>
              <w:left w:w="0" w:type="dxa"/>
              <w:bottom w:w="0" w:type="dxa"/>
              <w:right w:w="0" w:type="dxa"/>
            </w:tcMar>
            <w:vAlign w:val="center"/>
          </w:tcPr>
          <w:p>
            <w:pPr>
              <w:pStyle w:val="TableContents"/>
              <w:pBdr/>
              <w:bidi w:val="0"/>
              <w:spacing w:before="0" w:after="283"/>
              <w:ind w:left="68" w:right="0" w:hanging="177"/>
              <w:jc w:val="left"/>
              <w:rPr/>
            </w:pPr>
            <w:hyperlink w:anchor="item_3_quantitative_qualitative_disclosu">
              <w:r>
                <w:rPr>
                  <w:rStyle w:val="InternetLink"/>
                  <w:rFonts w:ascii="Times New Roman" w:hAnsi="Times New Roman"/>
                  <w:b w:val="false"/>
                  <w:color w:val="0000FF"/>
                  <w:sz w:val="20"/>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w:t>
            </w:r>
          </w:p>
        </w:tc>
      </w:tr>
      <w:tr>
        <w:trPr/>
        <w:tc>
          <w:tcPr>
            <w:tcW w:w="774"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517" w:type="dxa"/>
            <w:tcBorders/>
            <w:tcMar>
              <w:top w:w="0" w:type="dxa"/>
              <w:left w:w="0" w:type="dxa"/>
              <w:bottom w:w="0" w:type="dxa"/>
              <w:right w:w="0" w:type="dxa"/>
            </w:tcMar>
            <w:vAlign w:val="center"/>
          </w:tcPr>
          <w:p>
            <w:pPr>
              <w:pStyle w:val="TableContents"/>
              <w:pBdr/>
              <w:bidi w:val="0"/>
              <w:spacing w:before="0" w:after="283"/>
              <w:ind w:left="68" w:right="0" w:hanging="177"/>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tcMar>
              <w:top w:w="0" w:type="dxa"/>
              <w:left w:w="0" w:type="dxa"/>
              <w:bottom w:w="0" w:type="dxa"/>
              <w:right w:w="0" w:type="dxa"/>
            </w:tcMar>
            <w:vAlign w:val="center"/>
          </w:tcPr>
          <w:p>
            <w:pPr>
              <w:pStyle w:val="TableContents"/>
              <w:bidi w:val="0"/>
              <w:spacing w:before="0" w:after="283"/>
              <w:ind w:left="0" w:right="0" w:firstLine="144"/>
              <w:jc w:val="right"/>
              <w:rPr/>
            </w:pPr>
            <w:r>
              <w:rPr/>
              <w:t> </w:t>
            </w:r>
          </w:p>
        </w:tc>
      </w:tr>
      <w:tr>
        <w:trPr/>
        <w:tc>
          <w:tcPr>
            <w:tcW w:w="774" w:type="dxa"/>
            <w:tcBorders/>
            <w:tcMar>
              <w:top w:w="0" w:type="dxa"/>
              <w:left w:w="0" w:type="dxa"/>
              <w:bottom w:w="0" w:type="dxa"/>
              <w:right w:w="0" w:type="dxa"/>
            </w:tcMar>
            <w:vAlign w:val="center"/>
          </w:tcPr>
          <w:p>
            <w:pPr>
              <w:pStyle w:val="TableContents"/>
              <w:bidi w:val="0"/>
              <w:spacing w:before="0" w:after="283"/>
              <w:ind w:left="144" w:right="0" w:firstLine="144"/>
              <w:jc w:val="left"/>
              <w:rPr>
                <w:rFonts w:ascii="Times New Roman" w:hAnsi="Times New Roman"/>
                <w:b w:val="false"/>
                <w:color w:val="000000"/>
                <w:sz w:val="20"/>
              </w:rPr>
            </w:pPr>
            <w:r>
              <w:rPr>
                <w:rFonts w:ascii="Times New Roman" w:hAnsi="Times New Roman"/>
                <w:b w:val="false"/>
                <w:color w:val="000000"/>
                <w:sz w:val="20"/>
              </w:rPr>
              <w:t>Item 4.</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517" w:type="dxa"/>
            <w:tcBorders/>
            <w:tcMar>
              <w:top w:w="0" w:type="dxa"/>
              <w:left w:w="0" w:type="dxa"/>
              <w:bottom w:w="0" w:type="dxa"/>
              <w:right w:w="0" w:type="dxa"/>
            </w:tcMar>
            <w:vAlign w:val="center"/>
          </w:tcPr>
          <w:p>
            <w:pPr>
              <w:pStyle w:val="TableContents"/>
              <w:pBdr/>
              <w:bidi w:val="0"/>
              <w:spacing w:before="0" w:after="283"/>
              <w:ind w:left="68" w:right="0" w:hanging="177"/>
              <w:jc w:val="left"/>
              <w:rPr/>
            </w:pPr>
            <w:hyperlink w:anchor="item_4_controls_procedures">
              <w:r>
                <w:rPr>
                  <w:rStyle w:val="InternetLink"/>
                  <w:rFonts w:ascii="Times New Roman" w:hAnsi="Times New Roman"/>
                  <w:b w:val="false"/>
                  <w:color w:val="0000FF"/>
                  <w:sz w:val="20"/>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w:t>
            </w:r>
          </w:p>
        </w:tc>
      </w:tr>
      <w:tr>
        <w:trPr/>
        <w:tc>
          <w:tcPr>
            <w:tcW w:w="774"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517" w:type="dxa"/>
            <w:tcBorders/>
            <w:tcMar>
              <w:top w:w="0" w:type="dxa"/>
              <w:left w:w="0" w:type="dxa"/>
              <w:bottom w:w="0" w:type="dxa"/>
              <w:right w:w="0" w:type="dxa"/>
            </w:tcMar>
            <w:vAlign w:val="center"/>
          </w:tcPr>
          <w:p>
            <w:pPr>
              <w:pStyle w:val="TableContents"/>
              <w:pBdr/>
              <w:bidi w:val="0"/>
              <w:spacing w:before="0" w:after="283"/>
              <w:ind w:left="68" w:right="0" w:hanging="177"/>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b/>
                  <w:color w:val="0000FF"/>
                  <w:sz w:val="20"/>
                  <w:u w:val="single"/>
                </w:rPr>
                <w:t>Part II - Other Information</w:t>
              </w:r>
            </w:hyperlink>
          </w:p>
        </w:tc>
      </w:tr>
      <w:tr>
        <w:trPr/>
        <w:tc>
          <w:tcPr>
            <w:tcW w:w="774"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517" w:type="dxa"/>
            <w:tcBorders/>
            <w:tcMar>
              <w:top w:w="0" w:type="dxa"/>
              <w:left w:w="0" w:type="dxa"/>
              <w:bottom w:w="0" w:type="dxa"/>
              <w:right w:w="0" w:type="dxa"/>
            </w:tcMar>
            <w:vAlign w:val="center"/>
          </w:tcPr>
          <w:p>
            <w:pPr>
              <w:pStyle w:val="TableContents"/>
              <w:pBdr/>
              <w:bidi w:val="0"/>
              <w:spacing w:before="0" w:after="283"/>
              <w:ind w:left="68" w:right="0" w:hanging="177"/>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tcMar>
              <w:top w:w="0" w:type="dxa"/>
              <w:left w:w="0" w:type="dxa"/>
              <w:bottom w:w="0" w:type="dxa"/>
              <w:right w:w="0" w:type="dxa"/>
            </w:tcMar>
            <w:vAlign w:val="center"/>
          </w:tcPr>
          <w:p>
            <w:pPr>
              <w:pStyle w:val="TableContents"/>
              <w:bidi w:val="0"/>
              <w:spacing w:before="0" w:after="283"/>
              <w:ind w:left="0" w:right="0" w:firstLine="144"/>
              <w:jc w:val="right"/>
              <w:rPr/>
            </w:pPr>
            <w:r>
              <w:rPr/>
              <w:t> </w:t>
            </w:r>
          </w:p>
        </w:tc>
      </w:tr>
      <w:tr>
        <w:trPr/>
        <w:tc>
          <w:tcPr>
            <w:tcW w:w="774" w:type="dxa"/>
            <w:tcBorders/>
            <w:tcMar>
              <w:top w:w="0" w:type="dxa"/>
              <w:left w:w="0" w:type="dxa"/>
              <w:bottom w:w="0" w:type="dxa"/>
              <w:right w:w="0" w:type="dxa"/>
            </w:tcMar>
            <w:vAlign w:val="center"/>
          </w:tcPr>
          <w:p>
            <w:pPr>
              <w:pStyle w:val="TableContents"/>
              <w:bidi w:val="0"/>
              <w:spacing w:before="0" w:after="283"/>
              <w:ind w:left="144" w:right="0" w:firstLine="144"/>
              <w:jc w:val="left"/>
              <w:rPr>
                <w:rFonts w:ascii="Times New Roman" w:hAnsi="Times New Roman"/>
                <w:b w:val="false"/>
                <w:color w:val="000000"/>
                <w:sz w:val="20"/>
              </w:rPr>
            </w:pPr>
            <w:r>
              <w:rPr>
                <w:rFonts w:ascii="Times New Roman" w:hAnsi="Times New Roman"/>
                <w:b w:val="false"/>
                <w:color w:val="000000"/>
                <w:sz w:val="20"/>
              </w:rPr>
              <w:t>Item 2.</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517" w:type="dxa"/>
            <w:tcBorders/>
            <w:tcMar>
              <w:top w:w="0" w:type="dxa"/>
              <w:left w:w="0" w:type="dxa"/>
              <w:bottom w:w="0" w:type="dxa"/>
              <w:right w:w="0" w:type="dxa"/>
            </w:tcMar>
            <w:vAlign w:val="center"/>
          </w:tcPr>
          <w:p>
            <w:pPr>
              <w:pStyle w:val="TableContents"/>
              <w:pBdr/>
              <w:bidi w:val="0"/>
              <w:spacing w:before="0" w:after="283"/>
              <w:ind w:left="68" w:right="0" w:hanging="177"/>
              <w:jc w:val="left"/>
              <w:rPr/>
            </w:pPr>
            <w:hyperlink w:anchor="part_ii_item_2_unregistered_sales_equity">
              <w:r>
                <w:rPr>
                  <w:rStyle w:val="InternetLink"/>
                  <w:rFonts w:ascii="Times New Roman" w:hAnsi="Times New Roman"/>
                  <w:b w:val="false"/>
                  <w:color w:val="0000FF"/>
                  <w:sz w:val="20"/>
                  <w:u w:val="single"/>
                </w:rPr>
                <w:t>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w:t>
            </w:r>
          </w:p>
        </w:tc>
      </w:tr>
      <w:tr>
        <w:trPr/>
        <w:tc>
          <w:tcPr>
            <w:tcW w:w="774"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517" w:type="dxa"/>
            <w:tcBorders/>
            <w:tcMar>
              <w:top w:w="0" w:type="dxa"/>
              <w:left w:w="0" w:type="dxa"/>
              <w:bottom w:w="0" w:type="dxa"/>
              <w:right w:w="0" w:type="dxa"/>
            </w:tcMar>
            <w:vAlign w:val="center"/>
          </w:tcPr>
          <w:p>
            <w:pPr>
              <w:pStyle w:val="TableContents"/>
              <w:pBdr/>
              <w:bidi w:val="0"/>
              <w:spacing w:before="0" w:after="283"/>
              <w:ind w:left="68" w:right="0" w:hanging="177"/>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tcMar>
              <w:top w:w="0" w:type="dxa"/>
              <w:left w:w="0" w:type="dxa"/>
              <w:bottom w:w="0" w:type="dxa"/>
              <w:right w:w="0" w:type="dxa"/>
            </w:tcMar>
            <w:vAlign w:val="center"/>
          </w:tcPr>
          <w:p>
            <w:pPr>
              <w:pStyle w:val="TableContents"/>
              <w:bidi w:val="0"/>
              <w:spacing w:before="0" w:after="283"/>
              <w:ind w:left="0" w:right="0" w:firstLine="144"/>
              <w:jc w:val="right"/>
              <w:rPr/>
            </w:pPr>
            <w:r>
              <w:rPr/>
              <w:t> </w:t>
            </w:r>
          </w:p>
        </w:tc>
      </w:tr>
      <w:tr>
        <w:trPr/>
        <w:tc>
          <w:tcPr>
            <w:tcW w:w="774" w:type="dxa"/>
            <w:tcBorders/>
            <w:tcMar>
              <w:top w:w="0" w:type="dxa"/>
              <w:left w:w="0" w:type="dxa"/>
              <w:bottom w:w="0" w:type="dxa"/>
              <w:right w:w="0" w:type="dxa"/>
            </w:tcMar>
            <w:vAlign w:val="center"/>
          </w:tcPr>
          <w:p>
            <w:pPr>
              <w:pStyle w:val="TableContents"/>
              <w:bidi w:val="0"/>
              <w:spacing w:before="0" w:after="283"/>
              <w:ind w:left="144" w:right="0" w:firstLine="144"/>
              <w:jc w:val="left"/>
              <w:rPr>
                <w:rFonts w:ascii="Times New Roman" w:hAnsi="Times New Roman"/>
                <w:b w:val="false"/>
                <w:color w:val="000000"/>
                <w:sz w:val="20"/>
              </w:rPr>
            </w:pPr>
            <w:r>
              <w:rPr>
                <w:rFonts w:ascii="Times New Roman" w:hAnsi="Times New Roman"/>
                <w:b w:val="false"/>
                <w:color w:val="000000"/>
                <w:sz w:val="20"/>
              </w:rPr>
              <w:t>Item 5.</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517" w:type="dxa"/>
            <w:tcBorders/>
            <w:tcMar>
              <w:top w:w="0" w:type="dxa"/>
              <w:left w:w="0" w:type="dxa"/>
              <w:bottom w:w="0" w:type="dxa"/>
              <w:right w:w="0" w:type="dxa"/>
            </w:tcMar>
            <w:vAlign w:val="center"/>
          </w:tcPr>
          <w:p>
            <w:pPr>
              <w:pStyle w:val="TableContents"/>
              <w:pBdr/>
              <w:bidi w:val="0"/>
              <w:spacing w:before="0" w:after="283"/>
              <w:ind w:left="68" w:right="0" w:hanging="177"/>
              <w:jc w:val="left"/>
              <w:rPr/>
            </w:pPr>
            <w:hyperlink w:anchor="part_ii_item_5_other_information">
              <w:r>
                <w:rPr>
                  <w:rStyle w:val="InternetLink"/>
                  <w:rFonts w:ascii="Times New Roman" w:hAnsi="Times New Roman"/>
                  <w:b w:val="false"/>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w:t>
            </w:r>
          </w:p>
        </w:tc>
      </w:tr>
      <w:tr>
        <w:trPr/>
        <w:tc>
          <w:tcPr>
            <w:tcW w:w="774"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517" w:type="dxa"/>
            <w:tcBorders/>
            <w:tcMar>
              <w:top w:w="0" w:type="dxa"/>
              <w:left w:w="0" w:type="dxa"/>
              <w:bottom w:w="0" w:type="dxa"/>
              <w:right w:w="0" w:type="dxa"/>
            </w:tcMar>
            <w:vAlign w:val="center"/>
          </w:tcPr>
          <w:p>
            <w:pPr>
              <w:pStyle w:val="TableContents"/>
              <w:pBdr/>
              <w:bidi w:val="0"/>
              <w:spacing w:before="0" w:after="283"/>
              <w:ind w:left="68" w:right="0" w:hanging="177"/>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tcMar>
              <w:top w:w="0" w:type="dxa"/>
              <w:left w:w="0" w:type="dxa"/>
              <w:bottom w:w="0" w:type="dxa"/>
              <w:right w:w="0" w:type="dxa"/>
            </w:tcMar>
            <w:vAlign w:val="center"/>
          </w:tcPr>
          <w:p>
            <w:pPr>
              <w:pStyle w:val="TableContents"/>
              <w:bidi w:val="0"/>
              <w:spacing w:before="0" w:after="283"/>
              <w:ind w:left="0" w:right="0" w:firstLine="144"/>
              <w:jc w:val="right"/>
              <w:rPr/>
            </w:pPr>
            <w:r>
              <w:rPr/>
              <w:t> </w:t>
            </w:r>
          </w:p>
        </w:tc>
      </w:tr>
      <w:tr>
        <w:trPr/>
        <w:tc>
          <w:tcPr>
            <w:tcW w:w="774" w:type="dxa"/>
            <w:tcBorders/>
            <w:tcMar>
              <w:top w:w="0" w:type="dxa"/>
              <w:left w:w="0" w:type="dxa"/>
              <w:bottom w:w="0" w:type="dxa"/>
              <w:right w:w="0" w:type="dxa"/>
            </w:tcMar>
            <w:vAlign w:val="center"/>
          </w:tcPr>
          <w:p>
            <w:pPr>
              <w:pStyle w:val="TableContents"/>
              <w:bidi w:val="0"/>
              <w:spacing w:before="0" w:after="283"/>
              <w:ind w:left="144" w:right="0" w:firstLine="144"/>
              <w:jc w:val="left"/>
              <w:rPr>
                <w:rFonts w:ascii="Times New Roman" w:hAnsi="Times New Roman"/>
                <w:b w:val="false"/>
                <w:color w:val="000000"/>
                <w:sz w:val="20"/>
              </w:rPr>
            </w:pPr>
            <w:r>
              <w:rPr>
                <w:rFonts w:ascii="Times New Roman" w:hAnsi="Times New Roman"/>
                <w:b w:val="false"/>
                <w:color w:val="000000"/>
                <w:sz w:val="20"/>
              </w:rPr>
              <w:t>Item 6.</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517" w:type="dxa"/>
            <w:tcBorders/>
            <w:tcMar>
              <w:top w:w="0" w:type="dxa"/>
              <w:left w:w="0" w:type="dxa"/>
              <w:bottom w:w="0" w:type="dxa"/>
              <w:right w:w="0" w:type="dxa"/>
            </w:tcMar>
            <w:vAlign w:val="center"/>
          </w:tcPr>
          <w:p>
            <w:pPr>
              <w:pStyle w:val="TableContents"/>
              <w:pBdr/>
              <w:bidi w:val="0"/>
              <w:spacing w:before="0" w:after="283"/>
              <w:ind w:left="68" w:right="0" w:hanging="177"/>
              <w:jc w:val="left"/>
              <w:rPr/>
            </w:pPr>
            <w:hyperlink w:anchor="item_6_exhibits">
              <w:r>
                <w:rPr>
                  <w:rStyle w:val="InternetLink"/>
                  <w:rFonts w:ascii="Times New Roman" w:hAnsi="Times New Roman"/>
                  <w:b w:val="false"/>
                  <w:color w:val="0000FF"/>
                  <w:sz w:val="20"/>
                  <w:u w:val="single"/>
                </w:rPr>
                <w:t>Exhibits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u w:val="single"/>
        </w:rPr>
      </w:pPr>
      <w:bookmarkStart w:id="2" w:name="part_i_financial_information"/>
      <w:bookmarkEnd w:id="2"/>
      <w:r>
        <w:rPr>
          <w:rFonts w:ascii="Times New Roman" w:hAnsi="Times New Roman"/>
          <w:b/>
          <w:color w:val="000000"/>
          <w:sz w:val="20"/>
          <w:u w:val="single"/>
        </w:rPr>
        <w:t>PART I - FINANCIAL INFORMATION</w:t>
      </w:r>
    </w:p>
    <w:p>
      <w:pPr>
        <w:pStyle w:val="TextBody"/>
        <w:bidi w:val="0"/>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NOW INC.</w:t>
      </w:r>
    </w:p>
    <w:p>
      <w:pPr>
        <w:pStyle w:val="TextBody"/>
        <w:bidi w:val="0"/>
        <w:jc w:val="center"/>
        <w:rPr>
          <w:rFonts w:ascii="Times New Roman" w:hAnsi="Times New Roman"/>
          <w:b/>
          <w:color w:val="000000"/>
          <w:sz w:val="20"/>
        </w:rPr>
      </w:pPr>
      <w:bookmarkStart w:id="4" w:name="consolidated_balance_sheets"/>
      <w:bookmarkEnd w:id="4"/>
      <w:r>
        <w:rPr>
          <w:rFonts w:ascii="Times New Roman" w:hAnsi="Times New Roman"/>
          <w:b/>
          <w:color w:val="000000"/>
          <w:sz w:val="20"/>
        </w:rPr>
        <w:t>CONSOLIDATED BALANCE SHEETS</w:t>
      </w:r>
    </w:p>
    <w:p>
      <w:pPr>
        <w:pStyle w:val="TextBody"/>
        <w:bidi w:val="0"/>
        <w:jc w:val="center"/>
        <w:rPr>
          <w:rFonts w:ascii="Times New Roman" w:hAnsi="Times New Roman"/>
          <w:b/>
          <w:i/>
          <w:color w:val="000000"/>
          <w:sz w:val="20"/>
        </w:rPr>
      </w:pPr>
      <w:r>
        <w:rPr>
          <w:rFonts w:ascii="Times New Roman" w:hAnsi="Times New Roman"/>
          <w:b/>
          <w:i/>
          <w:color w:val="000000"/>
          <w:sz w:val="20"/>
        </w:rPr>
        <w:t>(In millions, except share data)</w:t>
      </w:r>
    </w:p>
    <w:tbl>
      <w:tblPr>
        <w:tblW w:w="10205" w:type="dxa"/>
        <w:jc w:val="left"/>
        <w:tblInd w:w="0" w:type="dxa"/>
        <w:tblLayout w:type="fixed"/>
        <w:tblCellMar>
          <w:top w:w="28" w:type="dxa"/>
          <w:left w:w="28" w:type="dxa"/>
          <w:bottom w:w="28" w:type="dxa"/>
          <w:right w:w="28" w:type="dxa"/>
        </w:tblCellMar>
      </w:tblPr>
      <w:tblGrid>
        <w:gridCol w:w="6062"/>
        <w:gridCol w:w="146"/>
        <w:gridCol w:w="407"/>
        <w:gridCol w:w="1074"/>
        <w:gridCol w:w="166"/>
        <w:gridCol w:w="146"/>
        <w:gridCol w:w="352"/>
        <w:gridCol w:w="1058"/>
        <w:gridCol w:w="794"/>
      </w:tblGrid>
      <w:tr>
        <w:trPr/>
        <w:tc>
          <w:tcPr>
            <w:tcW w:w="60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6062"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left"/>
              <w:rPr/>
            </w:pPr>
            <w:r>
              <w:rPr/>
              <w:t> </w:t>
            </w:r>
          </w:p>
        </w:tc>
        <w:tc>
          <w:tcPr>
            <w:tcW w:w="14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2022</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62"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left"/>
              <w:rPr/>
            </w:pPr>
            <w:r>
              <w:rPr/>
              <w:t> </w:t>
            </w:r>
          </w:p>
        </w:tc>
        <w:tc>
          <w:tcPr>
            <w:tcW w:w="148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(Unaudited)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10" w:type="dxa"/>
            <w:gridSpan w:val="2"/>
            <w:tcBorders/>
            <w:shd w:fill="FFFFFF" w:val="clear"/>
            <w:vAlign w:val="center"/>
          </w:tcPr>
          <w:p>
            <w:pPr>
              <w:pStyle w:val="TableContents"/>
              <w:bidi w:val="0"/>
              <w:spacing w:before="0" w:after="283"/>
              <w:jc w:val="center"/>
              <w:rPr/>
            </w:pPr>
            <w:r>
              <w:rPr/>
              <w:t> </w:t>
            </w:r>
          </w:p>
        </w:tc>
        <w:tc>
          <w:tcPr>
            <w:tcW w:w="794" w:type="dxa"/>
            <w:tcBorders/>
            <w:shd w:fill="FFFFFF" w:val="clear"/>
            <w:vAlign w:val="center"/>
          </w:tcPr>
          <w:p>
            <w:pPr>
              <w:pStyle w:val="TableContents"/>
              <w:bidi w:val="0"/>
              <w:spacing w:before="0" w:after="283"/>
              <w:jc w:val="center"/>
              <w:rPr/>
            </w:pPr>
            <w:r>
              <w:rPr/>
              <w:t> </w:t>
            </w:r>
          </w:p>
        </w:tc>
      </w:tr>
      <w:tr>
        <w:trPr/>
        <w:tc>
          <w:tcPr>
            <w:tcW w:w="6062"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481"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10" w:type="dxa"/>
            <w:gridSpan w:val="2"/>
            <w:tcBorders/>
            <w:shd w:fill="CFF0FC" w:val="clear"/>
            <w:vAlign w:val="center"/>
          </w:tcPr>
          <w:p>
            <w:pPr>
              <w:pStyle w:val="TableContents"/>
              <w:bidi w:val="0"/>
              <w:spacing w:before="0" w:after="283"/>
              <w:jc w:val="right"/>
              <w:rPr/>
            </w:pPr>
            <w:r>
              <w:rPr/>
              <w:t> </w:t>
            </w:r>
          </w:p>
        </w:tc>
        <w:tc>
          <w:tcPr>
            <w:tcW w:w="794" w:type="dxa"/>
            <w:tcBorders/>
            <w:shd w:fill="CFF0FC" w:val="clear"/>
            <w:vAlign w:val="center"/>
          </w:tcPr>
          <w:p>
            <w:pPr>
              <w:pStyle w:val="TableContents"/>
              <w:bidi w:val="0"/>
              <w:spacing w:before="0" w:after="283"/>
              <w:jc w:val="right"/>
              <w:rPr/>
            </w:pPr>
            <w:r>
              <w:rPr/>
              <w:t> </w:t>
            </w:r>
          </w:p>
        </w:tc>
      </w:tr>
      <w:tr>
        <w:trPr/>
        <w:tc>
          <w:tcPr>
            <w:tcW w:w="606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48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10" w:type="dxa"/>
            <w:gridSpan w:val="2"/>
            <w:tcBorders/>
            <w:shd w:fill="FFFFFF" w:val="clear"/>
            <w:vAlign w:val="center"/>
          </w:tcPr>
          <w:p>
            <w:pPr>
              <w:pStyle w:val="TableContents"/>
              <w:bidi w:val="0"/>
              <w:spacing w:before="0" w:after="283"/>
              <w:jc w:val="right"/>
              <w:rPr/>
            </w:pPr>
            <w:r>
              <w:rPr/>
              <w:t> </w:t>
            </w:r>
          </w:p>
        </w:tc>
        <w:tc>
          <w:tcPr>
            <w:tcW w:w="794" w:type="dxa"/>
            <w:tcBorders/>
            <w:shd w:fill="FFFFFF" w:val="clear"/>
            <w:vAlign w:val="center"/>
          </w:tcPr>
          <w:p>
            <w:pPr>
              <w:pStyle w:val="TableContents"/>
              <w:bidi w:val="0"/>
              <w:spacing w:before="0" w:after="283"/>
              <w:ind w:left="0" w:right="0" w:firstLine="200"/>
              <w:jc w:val="right"/>
              <w:rPr/>
            </w:pPr>
            <w:r>
              <w:rPr/>
              <w:t> </w:t>
            </w:r>
          </w:p>
        </w:tc>
      </w:tr>
      <w:tr>
        <w:trPr/>
        <w:tc>
          <w:tcPr>
            <w:tcW w:w="606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40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5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212</w:t>
            </w:r>
          </w:p>
        </w:tc>
        <w:tc>
          <w:tcPr>
            <w:tcW w:w="794" w:type="dxa"/>
            <w:tcBorders/>
            <w:shd w:fill="CFF0FC" w:val="clear"/>
            <w:vAlign w:val="center"/>
          </w:tcPr>
          <w:p>
            <w:pPr>
              <w:pStyle w:val="TableContents"/>
              <w:bidi w:val="0"/>
              <w:spacing w:before="0" w:after="283"/>
              <w:ind w:left="0" w:right="0" w:firstLine="200"/>
              <w:jc w:val="left"/>
              <w:rPr/>
            </w:pPr>
            <w:r>
              <w:rPr/>
              <w:t> </w:t>
            </w:r>
          </w:p>
        </w:tc>
      </w:tr>
      <w:tr>
        <w:trPr/>
        <w:tc>
          <w:tcPr>
            <w:tcW w:w="606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Receivables, net</w:t>
            </w:r>
          </w:p>
        </w:tc>
        <w:tc>
          <w:tcPr>
            <w:tcW w:w="146"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2"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398</w:t>
            </w:r>
          </w:p>
        </w:tc>
        <w:tc>
          <w:tcPr>
            <w:tcW w:w="794" w:type="dxa"/>
            <w:tcBorders/>
            <w:shd w:fill="FFFFFF" w:val="clear"/>
            <w:vAlign w:val="center"/>
          </w:tcPr>
          <w:p>
            <w:pPr>
              <w:pStyle w:val="TableContents"/>
              <w:bidi w:val="0"/>
              <w:spacing w:before="0" w:after="283"/>
              <w:ind w:left="0" w:right="0" w:firstLine="200"/>
              <w:jc w:val="left"/>
              <w:rPr/>
            </w:pPr>
            <w:r>
              <w:rPr/>
              <w:t> </w:t>
            </w:r>
          </w:p>
        </w:tc>
      </w:tr>
      <w:tr>
        <w:trPr/>
        <w:tc>
          <w:tcPr>
            <w:tcW w:w="606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Inventories, net</w:t>
            </w:r>
          </w:p>
        </w:tc>
        <w:tc>
          <w:tcPr>
            <w:tcW w:w="146" w:type="dxa"/>
            <w:tcBorders/>
            <w:shd w:fill="CFF0FC" w:val="clear"/>
            <w:vAlign w:val="center"/>
          </w:tcPr>
          <w:p>
            <w:pPr>
              <w:pStyle w:val="TableContents"/>
              <w:bidi w:val="0"/>
              <w:spacing w:before="0" w:after="283"/>
              <w:jc w:val="left"/>
              <w:rPr/>
            </w:pPr>
            <w:r>
              <w:rPr/>
              <w:t> </w:t>
            </w:r>
          </w:p>
        </w:tc>
        <w:tc>
          <w:tcPr>
            <w:tcW w:w="407" w:type="dxa"/>
            <w:tcBorders/>
            <w:shd w:fill="CFF0FC" w:val="clear"/>
            <w:vAlign w:val="center"/>
          </w:tcPr>
          <w:p>
            <w:pPr>
              <w:pStyle w:val="TableContents"/>
              <w:bidi w:val="0"/>
              <w:spacing w:before="0" w:after="283"/>
              <w:jc w:val="left"/>
              <w:rPr/>
            </w:pPr>
            <w:r>
              <w:rPr/>
              <w:t> </w:t>
            </w:r>
          </w:p>
        </w:tc>
        <w:tc>
          <w:tcPr>
            <w:tcW w:w="107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2" w:type="dxa"/>
            <w:tcBorders/>
            <w:shd w:fill="CFF0FC" w:val="clear"/>
            <w:vAlign w:val="center"/>
          </w:tcPr>
          <w:p>
            <w:pPr>
              <w:pStyle w:val="TableContents"/>
              <w:bidi w:val="0"/>
              <w:spacing w:before="0" w:after="283"/>
              <w:jc w:val="left"/>
              <w:rPr/>
            </w:pPr>
            <w:r>
              <w:rPr/>
              <w:t> </w:t>
            </w:r>
          </w:p>
        </w:tc>
        <w:tc>
          <w:tcPr>
            <w:tcW w:w="105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381</w:t>
            </w:r>
          </w:p>
        </w:tc>
        <w:tc>
          <w:tcPr>
            <w:tcW w:w="794" w:type="dxa"/>
            <w:tcBorders/>
            <w:shd w:fill="CFF0FC" w:val="clear"/>
            <w:vAlign w:val="center"/>
          </w:tcPr>
          <w:p>
            <w:pPr>
              <w:pStyle w:val="TableContents"/>
              <w:bidi w:val="0"/>
              <w:spacing w:before="0" w:after="283"/>
              <w:ind w:left="0" w:right="0" w:firstLine="200"/>
              <w:jc w:val="left"/>
              <w:rPr/>
            </w:pPr>
            <w:r>
              <w:rPr/>
              <w:t> </w:t>
            </w:r>
          </w:p>
        </w:tc>
      </w:tr>
      <w:tr>
        <w:trPr/>
        <w:tc>
          <w:tcPr>
            <w:tcW w:w="606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Prepaid and other current assets</w:t>
            </w:r>
          </w:p>
        </w:tc>
        <w:tc>
          <w:tcPr>
            <w:tcW w:w="146" w:type="dxa"/>
            <w:tcBorders/>
            <w:shd w:fill="FFFFFF" w:val="clear"/>
            <w:vAlign w:val="center"/>
          </w:tcPr>
          <w:p>
            <w:pPr>
              <w:pStyle w:val="TableContents"/>
              <w:bidi w:val="0"/>
              <w:spacing w:before="0" w:after="283"/>
              <w:jc w:val="left"/>
              <w:rPr/>
            </w:pPr>
            <w:r>
              <w:rPr/>
              <w:t> </w:t>
            </w:r>
          </w:p>
        </w:tc>
        <w:tc>
          <w:tcPr>
            <w:tcW w:w="4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62"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current assets</w:t>
            </w:r>
          </w:p>
        </w:tc>
        <w:tc>
          <w:tcPr>
            <w:tcW w:w="146" w:type="dxa"/>
            <w:tcBorders/>
            <w:shd w:fill="CFF0FC" w:val="clear"/>
            <w:vAlign w:val="center"/>
          </w:tcPr>
          <w:p>
            <w:pPr>
              <w:pStyle w:val="TableContents"/>
              <w:bidi w:val="0"/>
              <w:spacing w:before="0" w:after="283"/>
              <w:jc w:val="left"/>
              <w:rPr/>
            </w:pPr>
            <w:r>
              <w:rPr/>
              <w:t> </w:t>
            </w:r>
          </w:p>
        </w:tc>
        <w:tc>
          <w:tcPr>
            <w:tcW w:w="407" w:type="dxa"/>
            <w:tcBorders/>
            <w:shd w:fill="CFF0FC" w:val="clear"/>
            <w:vAlign w:val="center"/>
          </w:tcPr>
          <w:p>
            <w:pPr>
              <w:pStyle w:val="TableContents"/>
              <w:bidi w:val="0"/>
              <w:spacing w:before="0" w:after="283"/>
              <w:jc w:val="left"/>
              <w:rPr/>
            </w:pPr>
            <w:r>
              <w:rPr/>
              <w:t> </w:t>
            </w:r>
          </w:p>
        </w:tc>
        <w:tc>
          <w:tcPr>
            <w:tcW w:w="107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2" w:type="dxa"/>
            <w:tcBorders/>
            <w:shd w:fill="CFF0FC" w:val="clear"/>
            <w:vAlign w:val="center"/>
          </w:tcPr>
          <w:p>
            <w:pPr>
              <w:pStyle w:val="TableContents"/>
              <w:bidi w:val="0"/>
              <w:spacing w:before="0" w:after="283"/>
              <w:jc w:val="left"/>
              <w:rPr/>
            </w:pPr>
            <w:r>
              <w:rPr/>
              <w:t> </w:t>
            </w:r>
          </w:p>
        </w:tc>
        <w:tc>
          <w:tcPr>
            <w:tcW w:w="105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1,017</w:t>
            </w:r>
          </w:p>
        </w:tc>
        <w:tc>
          <w:tcPr>
            <w:tcW w:w="794" w:type="dxa"/>
            <w:tcBorders/>
            <w:shd w:fill="CFF0FC" w:val="clear"/>
            <w:vAlign w:val="center"/>
          </w:tcPr>
          <w:p>
            <w:pPr>
              <w:pStyle w:val="TableContents"/>
              <w:bidi w:val="0"/>
              <w:spacing w:before="0" w:after="283"/>
              <w:jc w:val="left"/>
              <w:rPr/>
            </w:pPr>
            <w:r>
              <w:rPr/>
              <w:t> </w:t>
            </w:r>
          </w:p>
        </w:tc>
      </w:tr>
      <w:tr>
        <w:trPr/>
        <w:tc>
          <w:tcPr>
            <w:tcW w:w="606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Property, plant and equipment, net</w:t>
            </w:r>
          </w:p>
        </w:tc>
        <w:tc>
          <w:tcPr>
            <w:tcW w:w="146"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2"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w:t>
            </w:r>
          </w:p>
        </w:tc>
        <w:tc>
          <w:tcPr>
            <w:tcW w:w="794" w:type="dxa"/>
            <w:tcBorders/>
            <w:shd w:fill="FFFFFF" w:val="clear"/>
            <w:vAlign w:val="center"/>
          </w:tcPr>
          <w:p>
            <w:pPr>
              <w:pStyle w:val="TableContents"/>
              <w:bidi w:val="0"/>
              <w:spacing w:before="0" w:after="283"/>
              <w:jc w:val="left"/>
              <w:rPr/>
            </w:pPr>
            <w:r>
              <w:rPr/>
              <w:t> </w:t>
            </w:r>
          </w:p>
        </w:tc>
      </w:tr>
      <w:tr>
        <w:trPr/>
        <w:tc>
          <w:tcPr>
            <w:tcW w:w="606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Goodwill</w:t>
            </w:r>
          </w:p>
        </w:tc>
        <w:tc>
          <w:tcPr>
            <w:tcW w:w="146" w:type="dxa"/>
            <w:tcBorders/>
            <w:shd w:fill="CFF0FC" w:val="clear"/>
            <w:vAlign w:val="center"/>
          </w:tcPr>
          <w:p>
            <w:pPr>
              <w:pStyle w:val="TableContents"/>
              <w:bidi w:val="0"/>
              <w:spacing w:before="0" w:after="283"/>
              <w:jc w:val="left"/>
              <w:rPr/>
            </w:pPr>
            <w:r>
              <w:rPr/>
              <w:t> </w:t>
            </w:r>
          </w:p>
        </w:tc>
        <w:tc>
          <w:tcPr>
            <w:tcW w:w="407" w:type="dxa"/>
            <w:tcBorders/>
            <w:shd w:fill="CFF0FC" w:val="clear"/>
            <w:vAlign w:val="center"/>
          </w:tcPr>
          <w:p>
            <w:pPr>
              <w:pStyle w:val="TableContents"/>
              <w:bidi w:val="0"/>
              <w:spacing w:before="0" w:after="283"/>
              <w:jc w:val="left"/>
              <w:rPr/>
            </w:pPr>
            <w:r>
              <w:rPr/>
              <w:t> </w:t>
            </w:r>
          </w:p>
        </w:tc>
        <w:tc>
          <w:tcPr>
            <w:tcW w:w="107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2" w:type="dxa"/>
            <w:tcBorders/>
            <w:shd w:fill="CFF0FC" w:val="clear"/>
            <w:vAlign w:val="center"/>
          </w:tcPr>
          <w:p>
            <w:pPr>
              <w:pStyle w:val="TableContents"/>
              <w:bidi w:val="0"/>
              <w:spacing w:before="0" w:after="283"/>
              <w:jc w:val="left"/>
              <w:rPr/>
            </w:pPr>
            <w:r>
              <w:rPr/>
              <w:t> </w:t>
            </w:r>
          </w:p>
        </w:tc>
        <w:tc>
          <w:tcPr>
            <w:tcW w:w="105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116</w:t>
            </w:r>
          </w:p>
        </w:tc>
        <w:tc>
          <w:tcPr>
            <w:tcW w:w="794" w:type="dxa"/>
            <w:tcBorders/>
            <w:shd w:fill="CFF0FC" w:val="clear"/>
            <w:vAlign w:val="center"/>
          </w:tcPr>
          <w:p>
            <w:pPr>
              <w:pStyle w:val="TableContents"/>
              <w:bidi w:val="0"/>
              <w:spacing w:before="0" w:after="283"/>
              <w:jc w:val="left"/>
              <w:rPr/>
            </w:pPr>
            <w:r>
              <w:rPr/>
              <w:t> </w:t>
            </w:r>
          </w:p>
        </w:tc>
      </w:tr>
      <w:tr>
        <w:trPr/>
        <w:tc>
          <w:tcPr>
            <w:tcW w:w="606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Intangibles, net</w:t>
            </w:r>
          </w:p>
        </w:tc>
        <w:tc>
          <w:tcPr>
            <w:tcW w:w="146"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2"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w:t>
            </w:r>
          </w:p>
        </w:tc>
        <w:tc>
          <w:tcPr>
            <w:tcW w:w="794" w:type="dxa"/>
            <w:tcBorders/>
            <w:shd w:fill="FFFFFF" w:val="clear"/>
            <w:vAlign w:val="center"/>
          </w:tcPr>
          <w:p>
            <w:pPr>
              <w:pStyle w:val="TableContents"/>
              <w:bidi w:val="0"/>
              <w:spacing w:before="0" w:after="283"/>
              <w:jc w:val="left"/>
              <w:rPr/>
            </w:pPr>
            <w:r>
              <w:rPr/>
              <w:t> </w:t>
            </w:r>
          </w:p>
        </w:tc>
      </w:tr>
      <w:tr>
        <w:trPr/>
        <w:tc>
          <w:tcPr>
            <w:tcW w:w="606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assets</w:t>
            </w:r>
          </w:p>
        </w:tc>
        <w:tc>
          <w:tcPr>
            <w:tcW w:w="146" w:type="dxa"/>
            <w:tcBorders/>
            <w:shd w:fill="CFF0FC" w:val="clear"/>
            <w:vAlign w:val="center"/>
          </w:tcPr>
          <w:p>
            <w:pPr>
              <w:pStyle w:val="TableContents"/>
              <w:bidi w:val="0"/>
              <w:spacing w:before="0" w:after="283"/>
              <w:jc w:val="left"/>
              <w:rPr/>
            </w:pPr>
            <w:r>
              <w:rPr/>
              <w:t> </w:t>
            </w:r>
          </w:p>
        </w:tc>
        <w:tc>
          <w:tcPr>
            <w:tcW w:w="4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062"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4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1,320</w:t>
            </w:r>
          </w:p>
        </w:tc>
        <w:tc>
          <w:tcPr>
            <w:tcW w:w="7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62"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LIABILITIES AND STOCKHOLDERS' EQUITY</w:t>
            </w:r>
          </w:p>
        </w:tc>
        <w:tc>
          <w:tcPr>
            <w:tcW w:w="146" w:type="dxa"/>
            <w:tcBorders/>
            <w:shd w:fill="CFF0FC" w:val="clear"/>
            <w:vAlign w:val="center"/>
          </w:tcPr>
          <w:p>
            <w:pPr>
              <w:pStyle w:val="TableContents"/>
              <w:bidi w:val="0"/>
              <w:spacing w:before="0" w:after="283"/>
              <w:jc w:val="left"/>
              <w:rPr/>
            </w:pPr>
            <w:r>
              <w:rPr/>
              <w:t> </w:t>
            </w:r>
          </w:p>
        </w:tc>
        <w:tc>
          <w:tcPr>
            <w:tcW w:w="1481"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10" w:type="dxa"/>
            <w:gridSpan w:val="2"/>
            <w:tcBorders/>
            <w:shd w:fill="CFF0FC" w:val="clear"/>
            <w:vAlign w:val="center"/>
          </w:tcPr>
          <w:p>
            <w:pPr>
              <w:pStyle w:val="TableContents"/>
              <w:bidi w:val="0"/>
              <w:spacing w:before="0" w:after="283"/>
              <w:jc w:val="right"/>
              <w:rPr/>
            </w:pPr>
            <w:r>
              <w:rPr/>
              <w:t> </w:t>
            </w:r>
          </w:p>
        </w:tc>
        <w:tc>
          <w:tcPr>
            <w:tcW w:w="794" w:type="dxa"/>
            <w:tcBorders/>
            <w:shd w:fill="CFF0FC" w:val="clear"/>
            <w:vAlign w:val="center"/>
          </w:tcPr>
          <w:p>
            <w:pPr>
              <w:pStyle w:val="TableContents"/>
              <w:bidi w:val="0"/>
              <w:spacing w:before="0" w:after="283"/>
              <w:jc w:val="right"/>
              <w:rPr/>
            </w:pPr>
            <w:r>
              <w:rPr/>
              <w:t> </w:t>
            </w:r>
          </w:p>
        </w:tc>
      </w:tr>
      <w:tr>
        <w:trPr/>
        <w:tc>
          <w:tcPr>
            <w:tcW w:w="606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liabilities:</w:t>
            </w:r>
          </w:p>
        </w:tc>
        <w:tc>
          <w:tcPr>
            <w:tcW w:w="146" w:type="dxa"/>
            <w:tcBorders/>
            <w:shd w:fill="FFFFFF" w:val="clear"/>
            <w:vAlign w:val="center"/>
          </w:tcPr>
          <w:p>
            <w:pPr>
              <w:pStyle w:val="TableContents"/>
              <w:bidi w:val="0"/>
              <w:spacing w:before="0" w:after="283"/>
              <w:jc w:val="left"/>
              <w:rPr/>
            </w:pPr>
            <w:r>
              <w:rPr/>
              <w:t> </w:t>
            </w:r>
          </w:p>
        </w:tc>
        <w:tc>
          <w:tcPr>
            <w:tcW w:w="148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10" w:type="dxa"/>
            <w:gridSpan w:val="2"/>
            <w:tcBorders/>
            <w:shd w:fill="FFFFFF" w:val="clear"/>
            <w:vAlign w:val="center"/>
          </w:tcPr>
          <w:p>
            <w:pPr>
              <w:pStyle w:val="TableContents"/>
              <w:bidi w:val="0"/>
              <w:spacing w:before="0" w:after="283"/>
              <w:jc w:val="right"/>
              <w:rPr/>
            </w:pPr>
            <w:r>
              <w:rPr/>
              <w:t> </w:t>
            </w:r>
          </w:p>
        </w:tc>
        <w:tc>
          <w:tcPr>
            <w:tcW w:w="794" w:type="dxa"/>
            <w:tcBorders/>
            <w:shd w:fill="FFFFFF" w:val="clear"/>
            <w:vAlign w:val="center"/>
          </w:tcPr>
          <w:p>
            <w:pPr>
              <w:pStyle w:val="TableContents"/>
              <w:bidi w:val="0"/>
              <w:spacing w:before="0" w:after="283"/>
              <w:ind w:left="0" w:right="0" w:firstLine="200"/>
              <w:jc w:val="right"/>
              <w:rPr/>
            </w:pPr>
            <w:r>
              <w:rPr/>
              <w:t> </w:t>
            </w:r>
          </w:p>
        </w:tc>
      </w:tr>
      <w:tr>
        <w:trPr/>
        <w:tc>
          <w:tcPr>
            <w:tcW w:w="606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40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5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304</w:t>
            </w:r>
          </w:p>
        </w:tc>
        <w:tc>
          <w:tcPr>
            <w:tcW w:w="794" w:type="dxa"/>
            <w:tcBorders/>
            <w:shd w:fill="CFF0FC" w:val="clear"/>
            <w:vAlign w:val="center"/>
          </w:tcPr>
          <w:p>
            <w:pPr>
              <w:pStyle w:val="TableContents"/>
              <w:bidi w:val="0"/>
              <w:spacing w:before="0" w:after="283"/>
              <w:ind w:left="0" w:right="0" w:firstLine="200"/>
              <w:jc w:val="left"/>
              <w:rPr/>
            </w:pPr>
            <w:r>
              <w:rPr/>
              <w:t> </w:t>
            </w:r>
          </w:p>
        </w:tc>
      </w:tr>
      <w:tr>
        <w:trPr/>
        <w:tc>
          <w:tcPr>
            <w:tcW w:w="606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Accrued liabilities</w:t>
            </w:r>
          </w:p>
        </w:tc>
        <w:tc>
          <w:tcPr>
            <w:tcW w:w="146"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2"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w:t>
            </w:r>
          </w:p>
        </w:tc>
        <w:tc>
          <w:tcPr>
            <w:tcW w:w="794" w:type="dxa"/>
            <w:tcBorders/>
            <w:shd w:fill="FFFFFF" w:val="clear"/>
            <w:vAlign w:val="center"/>
          </w:tcPr>
          <w:p>
            <w:pPr>
              <w:pStyle w:val="TableContents"/>
              <w:bidi w:val="0"/>
              <w:spacing w:before="0" w:after="283"/>
              <w:ind w:left="0" w:right="0" w:firstLine="200"/>
              <w:jc w:val="left"/>
              <w:rPr/>
            </w:pPr>
            <w:r>
              <w:rPr/>
              <w:t> </w:t>
            </w:r>
          </w:p>
        </w:tc>
      </w:tr>
      <w:tr>
        <w:trPr/>
        <w:tc>
          <w:tcPr>
            <w:tcW w:w="606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current liabilities</w:t>
            </w:r>
          </w:p>
        </w:tc>
        <w:tc>
          <w:tcPr>
            <w:tcW w:w="146" w:type="dxa"/>
            <w:tcBorders/>
            <w:shd w:fill="CFF0FC" w:val="clear"/>
            <w:vAlign w:val="center"/>
          </w:tcPr>
          <w:p>
            <w:pPr>
              <w:pStyle w:val="TableContents"/>
              <w:bidi w:val="0"/>
              <w:spacing w:before="0" w:after="283"/>
              <w:jc w:val="left"/>
              <w:rPr/>
            </w:pPr>
            <w:r>
              <w:rPr/>
              <w:t> </w:t>
            </w:r>
          </w:p>
        </w:tc>
        <w:tc>
          <w:tcPr>
            <w:tcW w:w="4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62"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2"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439</w:t>
            </w:r>
          </w:p>
        </w:tc>
        <w:tc>
          <w:tcPr>
            <w:tcW w:w="794" w:type="dxa"/>
            <w:tcBorders/>
            <w:shd w:fill="FFFFFF" w:val="clear"/>
            <w:vAlign w:val="center"/>
          </w:tcPr>
          <w:p>
            <w:pPr>
              <w:pStyle w:val="TableContents"/>
              <w:bidi w:val="0"/>
              <w:spacing w:before="0" w:after="283"/>
              <w:jc w:val="left"/>
              <w:rPr/>
            </w:pPr>
            <w:r>
              <w:rPr/>
              <w:t> </w:t>
            </w:r>
          </w:p>
        </w:tc>
      </w:tr>
      <w:tr>
        <w:trPr/>
        <w:tc>
          <w:tcPr>
            <w:tcW w:w="606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Long-term operating lease liabilities</w:t>
            </w:r>
          </w:p>
        </w:tc>
        <w:tc>
          <w:tcPr>
            <w:tcW w:w="146" w:type="dxa"/>
            <w:tcBorders/>
            <w:shd w:fill="CFF0FC" w:val="clear"/>
            <w:vAlign w:val="center"/>
          </w:tcPr>
          <w:p>
            <w:pPr>
              <w:pStyle w:val="TableContents"/>
              <w:bidi w:val="0"/>
              <w:spacing w:before="0" w:after="283"/>
              <w:jc w:val="left"/>
              <w:rPr/>
            </w:pPr>
            <w:r>
              <w:rPr/>
              <w:t> </w:t>
            </w:r>
          </w:p>
        </w:tc>
        <w:tc>
          <w:tcPr>
            <w:tcW w:w="407" w:type="dxa"/>
            <w:tcBorders/>
            <w:shd w:fill="CFF0FC" w:val="clear"/>
            <w:vAlign w:val="center"/>
          </w:tcPr>
          <w:p>
            <w:pPr>
              <w:pStyle w:val="TableContents"/>
              <w:bidi w:val="0"/>
              <w:spacing w:before="0" w:after="283"/>
              <w:jc w:val="left"/>
              <w:rPr/>
            </w:pPr>
            <w:r>
              <w:rPr/>
              <w:t> </w:t>
            </w:r>
          </w:p>
        </w:tc>
        <w:tc>
          <w:tcPr>
            <w:tcW w:w="107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2" w:type="dxa"/>
            <w:tcBorders/>
            <w:shd w:fill="CFF0FC" w:val="clear"/>
            <w:vAlign w:val="center"/>
          </w:tcPr>
          <w:p>
            <w:pPr>
              <w:pStyle w:val="TableContents"/>
              <w:bidi w:val="0"/>
              <w:spacing w:before="0" w:after="283"/>
              <w:jc w:val="left"/>
              <w:rPr/>
            </w:pPr>
            <w:r>
              <w:rPr/>
              <w:t> </w:t>
            </w:r>
          </w:p>
        </w:tc>
        <w:tc>
          <w:tcPr>
            <w:tcW w:w="105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w:t>
            </w:r>
          </w:p>
        </w:tc>
        <w:tc>
          <w:tcPr>
            <w:tcW w:w="794" w:type="dxa"/>
            <w:tcBorders/>
            <w:shd w:fill="CFF0FC" w:val="clear"/>
            <w:vAlign w:val="center"/>
          </w:tcPr>
          <w:p>
            <w:pPr>
              <w:pStyle w:val="TableContents"/>
              <w:bidi w:val="0"/>
              <w:spacing w:before="0" w:after="283"/>
              <w:jc w:val="left"/>
              <w:rPr/>
            </w:pPr>
            <w:r>
              <w:rPr/>
              <w:t> </w:t>
            </w:r>
          </w:p>
        </w:tc>
      </w:tr>
      <w:tr>
        <w:trPr/>
        <w:tc>
          <w:tcPr>
            <w:tcW w:w="606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Deferred income taxes</w:t>
            </w:r>
          </w:p>
        </w:tc>
        <w:tc>
          <w:tcPr>
            <w:tcW w:w="146"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2"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794" w:type="dxa"/>
            <w:tcBorders/>
            <w:shd w:fill="FFFFFF" w:val="clear"/>
            <w:vAlign w:val="center"/>
          </w:tcPr>
          <w:p>
            <w:pPr>
              <w:pStyle w:val="TableContents"/>
              <w:bidi w:val="0"/>
              <w:spacing w:before="0" w:after="283"/>
              <w:jc w:val="left"/>
              <w:rPr/>
            </w:pPr>
            <w:r>
              <w:rPr/>
              <w:t> </w:t>
            </w:r>
          </w:p>
        </w:tc>
      </w:tr>
      <w:tr>
        <w:trPr/>
        <w:tc>
          <w:tcPr>
            <w:tcW w:w="606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long-term liabilities</w:t>
            </w:r>
          </w:p>
        </w:tc>
        <w:tc>
          <w:tcPr>
            <w:tcW w:w="146" w:type="dxa"/>
            <w:tcBorders/>
            <w:shd w:fill="CFF0FC" w:val="clear"/>
            <w:vAlign w:val="center"/>
          </w:tcPr>
          <w:p>
            <w:pPr>
              <w:pStyle w:val="TableContents"/>
              <w:bidi w:val="0"/>
              <w:spacing w:before="0" w:after="283"/>
              <w:jc w:val="left"/>
              <w:rPr/>
            </w:pPr>
            <w:r>
              <w:rPr/>
              <w:t> </w:t>
            </w:r>
          </w:p>
        </w:tc>
        <w:tc>
          <w:tcPr>
            <w:tcW w:w="4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62"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2"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476</w:t>
            </w:r>
          </w:p>
        </w:tc>
        <w:tc>
          <w:tcPr>
            <w:tcW w:w="794" w:type="dxa"/>
            <w:tcBorders/>
            <w:shd w:fill="FFFFFF" w:val="clear"/>
            <w:vAlign w:val="center"/>
          </w:tcPr>
          <w:p>
            <w:pPr>
              <w:pStyle w:val="TableContents"/>
              <w:bidi w:val="0"/>
              <w:spacing w:before="0" w:after="283"/>
              <w:jc w:val="left"/>
              <w:rPr/>
            </w:pPr>
            <w:r>
              <w:rPr/>
              <w:t> </w:t>
            </w:r>
          </w:p>
        </w:tc>
      </w:tr>
      <w:tr>
        <w:trPr/>
        <w:tc>
          <w:tcPr>
            <w:tcW w:w="606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Commitments and contingencies</w:t>
            </w:r>
          </w:p>
        </w:tc>
        <w:tc>
          <w:tcPr>
            <w:tcW w:w="146" w:type="dxa"/>
            <w:tcBorders/>
            <w:shd w:fill="CFF0FC" w:val="clear"/>
            <w:vAlign w:val="center"/>
          </w:tcPr>
          <w:p>
            <w:pPr>
              <w:pStyle w:val="TableContents"/>
              <w:bidi w:val="0"/>
              <w:spacing w:before="0" w:after="283"/>
              <w:jc w:val="left"/>
              <w:rPr/>
            </w:pPr>
            <w:r>
              <w:rPr/>
              <w:t> </w:t>
            </w:r>
          </w:p>
        </w:tc>
        <w:tc>
          <w:tcPr>
            <w:tcW w:w="148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10" w:type="dxa"/>
            <w:gridSpan w:val="2"/>
            <w:tcBorders/>
            <w:shd w:fill="CFF0FC" w:val="clear"/>
            <w:vAlign w:val="center"/>
          </w:tcPr>
          <w:p>
            <w:pPr>
              <w:pStyle w:val="TableContents"/>
              <w:bidi w:val="0"/>
              <w:spacing w:before="0" w:after="283"/>
              <w:jc w:val="right"/>
              <w:rPr/>
            </w:pPr>
            <w:r>
              <w:rPr/>
              <w:t> </w:t>
            </w:r>
          </w:p>
        </w:tc>
        <w:tc>
          <w:tcPr>
            <w:tcW w:w="794" w:type="dxa"/>
            <w:tcBorders/>
            <w:shd w:fill="CFF0FC" w:val="clear"/>
            <w:vAlign w:val="center"/>
          </w:tcPr>
          <w:p>
            <w:pPr>
              <w:pStyle w:val="TableContents"/>
              <w:bidi w:val="0"/>
              <w:spacing w:before="0" w:after="283"/>
              <w:jc w:val="right"/>
              <w:rPr/>
            </w:pPr>
            <w:r>
              <w:rPr/>
              <w:t> </w:t>
            </w:r>
          </w:p>
        </w:tc>
      </w:tr>
      <w:tr>
        <w:trPr/>
        <w:tc>
          <w:tcPr>
            <w:tcW w:w="606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Stockholders' equity:</w:t>
            </w:r>
          </w:p>
        </w:tc>
        <w:tc>
          <w:tcPr>
            <w:tcW w:w="146" w:type="dxa"/>
            <w:tcBorders/>
            <w:shd w:fill="FFFFFF" w:val="clear"/>
            <w:vAlign w:val="center"/>
          </w:tcPr>
          <w:p>
            <w:pPr>
              <w:pStyle w:val="TableContents"/>
              <w:bidi w:val="0"/>
              <w:spacing w:before="0" w:after="283"/>
              <w:jc w:val="left"/>
              <w:rPr/>
            </w:pPr>
            <w:r>
              <w:rPr/>
              <w:t> </w:t>
            </w:r>
          </w:p>
        </w:tc>
        <w:tc>
          <w:tcPr>
            <w:tcW w:w="148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10" w:type="dxa"/>
            <w:gridSpan w:val="2"/>
            <w:tcBorders/>
            <w:shd w:fill="FFFFFF" w:val="clear"/>
            <w:vAlign w:val="center"/>
          </w:tcPr>
          <w:p>
            <w:pPr>
              <w:pStyle w:val="TableContents"/>
              <w:bidi w:val="0"/>
              <w:spacing w:before="0" w:after="283"/>
              <w:jc w:val="right"/>
              <w:rPr/>
            </w:pPr>
            <w:r>
              <w:rPr/>
              <w:t> </w:t>
            </w:r>
          </w:p>
        </w:tc>
        <w:tc>
          <w:tcPr>
            <w:tcW w:w="794" w:type="dxa"/>
            <w:tcBorders/>
            <w:shd w:fill="FFFFFF" w:val="clear"/>
            <w:vAlign w:val="center"/>
          </w:tcPr>
          <w:p>
            <w:pPr>
              <w:pStyle w:val="TableContents"/>
              <w:bidi w:val="0"/>
              <w:spacing w:before="0" w:after="283"/>
              <w:ind w:left="0" w:right="0" w:firstLine="200"/>
              <w:jc w:val="right"/>
              <w:rPr/>
            </w:pPr>
            <w:r>
              <w:rPr/>
              <w:t> </w:t>
            </w:r>
          </w:p>
        </w:tc>
      </w:tr>
      <w:tr>
        <w:trPr/>
        <w:tc>
          <w:tcPr>
            <w:tcW w:w="6062"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Preferred stock - par value $0.01; 20</w:t>
            </w:r>
            <w:r>
              <w:rPr>
                <w:rFonts w:ascii="Times New Roman" w:hAnsi="Times New Roman"/>
                <w:color w:val="000000"/>
                <w:sz w:val="20"/>
              </w:rPr>
              <w:t> </w:t>
            </w:r>
            <w:r>
              <w:rPr>
                <w:rFonts w:ascii="Times New Roman" w:hAnsi="Times New Roman"/>
                <w:b w:val="false"/>
                <w:color w:val="000000"/>
                <w:sz w:val="20"/>
              </w:rPr>
              <w:t>million shares authorized;</w:t>
              <w:br/>
              <w:t>   no</w:t>
            </w:r>
            <w:r>
              <w:rPr>
                <w:rFonts w:ascii="Times New Roman" w:hAnsi="Times New Roman"/>
                <w:color w:val="000000"/>
                <w:sz w:val="20"/>
              </w:rPr>
              <w:t> </w:t>
            </w:r>
            <w:r>
              <w:rPr>
                <w:rFonts w:ascii="Times New Roman" w:hAnsi="Times New Roman"/>
                <w:b w:val="false"/>
                <w:color w:val="000000"/>
                <w:sz w:val="20"/>
              </w:rPr>
              <w:t>shares issued and outstanding</w:t>
            </w:r>
          </w:p>
        </w:tc>
        <w:tc>
          <w:tcPr>
            <w:tcW w:w="146" w:type="dxa"/>
            <w:tcBorders/>
            <w:shd w:fill="CFF0FC" w:val="clear"/>
            <w:vAlign w:val="center"/>
          </w:tcPr>
          <w:p>
            <w:pPr>
              <w:pStyle w:val="TableContents"/>
              <w:bidi w:val="0"/>
              <w:spacing w:before="0" w:after="283"/>
              <w:jc w:val="left"/>
              <w:rPr/>
            </w:pPr>
            <w:r>
              <w:rPr/>
              <w:t> </w:t>
            </w:r>
          </w:p>
        </w:tc>
        <w:tc>
          <w:tcPr>
            <w:tcW w:w="407" w:type="dxa"/>
            <w:tcBorders/>
            <w:shd w:fill="CFF0FC" w:val="clear"/>
            <w:vAlign w:val="center"/>
          </w:tcPr>
          <w:p>
            <w:pPr>
              <w:pStyle w:val="TableContents"/>
              <w:bidi w:val="0"/>
              <w:spacing w:before="0" w:after="283"/>
              <w:jc w:val="left"/>
              <w:rPr/>
            </w:pPr>
            <w:r>
              <w:rPr/>
              <w:t> </w:t>
            </w:r>
          </w:p>
        </w:tc>
        <w:tc>
          <w:tcPr>
            <w:tcW w:w="107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2" w:type="dxa"/>
            <w:tcBorders/>
            <w:shd w:fill="CFF0FC" w:val="clear"/>
            <w:vAlign w:val="center"/>
          </w:tcPr>
          <w:p>
            <w:pPr>
              <w:pStyle w:val="TableContents"/>
              <w:bidi w:val="0"/>
              <w:spacing w:before="0" w:after="283"/>
              <w:jc w:val="left"/>
              <w:rPr/>
            </w:pPr>
            <w:r>
              <w:rPr/>
              <w:t> </w:t>
            </w:r>
          </w:p>
        </w:tc>
        <w:tc>
          <w:tcPr>
            <w:tcW w:w="1058" w:type="dxa"/>
            <w:tcBorders/>
            <w:shd w:fill="CFF0FC" w:val="clear"/>
            <w:vAlign w:val="center"/>
          </w:tcPr>
          <w:p>
            <w:pPr>
              <w:pStyle w:val="TableContents"/>
              <w:bidi w:val="0"/>
              <w:spacing w:before="0" w:after="283"/>
              <w:jc w:val="right"/>
              <w:rPr>
                <w:color w:val="000000"/>
              </w:rPr>
            </w:pPr>
            <w:r>
              <w:rPr>
                <w:color w:val="000000"/>
              </w:rPr>
              <w:t>—</w:t>
            </w:r>
          </w:p>
        </w:tc>
        <w:tc>
          <w:tcPr>
            <w:tcW w:w="794" w:type="dxa"/>
            <w:tcBorders/>
            <w:shd w:fill="CFF0FC" w:val="clear"/>
            <w:vAlign w:val="center"/>
          </w:tcPr>
          <w:p>
            <w:pPr>
              <w:pStyle w:val="TableContents"/>
              <w:bidi w:val="0"/>
              <w:spacing w:before="0" w:after="283"/>
              <w:ind w:left="0" w:right="0" w:firstLine="200"/>
              <w:jc w:val="left"/>
              <w:rPr/>
            </w:pPr>
            <w:r>
              <w:rPr/>
              <w:t> </w:t>
            </w:r>
          </w:p>
        </w:tc>
      </w:tr>
      <w:tr>
        <w:trPr/>
        <w:tc>
          <w:tcPr>
            <w:tcW w:w="6062"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Common stock - par value $0.01; 330</w:t>
            </w:r>
            <w:r>
              <w:rPr>
                <w:rFonts w:ascii="Times New Roman" w:hAnsi="Times New Roman"/>
                <w:color w:val="000000"/>
                <w:sz w:val="20"/>
              </w:rPr>
              <w:t> </w:t>
            </w:r>
            <w:r>
              <w:rPr>
                <w:rFonts w:ascii="Times New Roman" w:hAnsi="Times New Roman"/>
                <w:b w:val="false"/>
                <w:color w:val="000000"/>
                <w:sz w:val="20"/>
              </w:rPr>
              <w:t>million shares authorized;</w:t>
              <w:br/>
              <w:t>106,329,287</w:t>
            </w:r>
            <w:r>
              <w:rPr>
                <w:rFonts w:ascii="Times New Roman" w:hAnsi="Times New Roman"/>
                <w:color w:val="000000"/>
                <w:sz w:val="20"/>
              </w:rPr>
              <w:t> </w:t>
            </w:r>
            <w:r>
              <w:rPr>
                <w:rFonts w:ascii="Times New Roman" w:hAnsi="Times New Roman"/>
                <w:b w:val="false"/>
                <w:color w:val="000000"/>
                <w:sz w:val="20"/>
              </w:rPr>
              <w:t>and 110,369,266</w:t>
            </w:r>
            <w:r>
              <w:rPr>
                <w:rFonts w:ascii="Times New Roman" w:hAnsi="Times New Roman"/>
                <w:color w:val="000000"/>
                <w:sz w:val="20"/>
              </w:rPr>
              <w:t> </w:t>
            </w:r>
            <w:r>
              <w:rPr>
                <w:rFonts w:ascii="Times New Roman" w:hAnsi="Times New Roman"/>
                <w:b w:val="false"/>
                <w:color w:val="000000"/>
                <w:sz w:val="20"/>
              </w:rPr>
              <w:t>shares issued and outstanding at September 30, 2023</w:t>
              <w:br/>
              <w:t>   and December 31, 2022, respectively</w:t>
            </w:r>
          </w:p>
        </w:tc>
        <w:tc>
          <w:tcPr>
            <w:tcW w:w="146"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2"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794" w:type="dxa"/>
            <w:tcBorders/>
            <w:shd w:fill="FFFFFF" w:val="clear"/>
            <w:vAlign w:val="center"/>
          </w:tcPr>
          <w:p>
            <w:pPr>
              <w:pStyle w:val="TableContents"/>
              <w:bidi w:val="0"/>
              <w:spacing w:before="0" w:after="283"/>
              <w:ind w:left="0" w:right="0" w:firstLine="200"/>
              <w:jc w:val="left"/>
              <w:rPr/>
            </w:pPr>
            <w:r>
              <w:rPr/>
              <w:t> </w:t>
            </w:r>
          </w:p>
        </w:tc>
      </w:tr>
      <w:tr>
        <w:trPr/>
        <w:tc>
          <w:tcPr>
            <w:tcW w:w="606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Additional paid-in capital</w:t>
            </w:r>
          </w:p>
        </w:tc>
        <w:tc>
          <w:tcPr>
            <w:tcW w:w="146" w:type="dxa"/>
            <w:tcBorders/>
            <w:shd w:fill="CFF0FC" w:val="clear"/>
            <w:vAlign w:val="center"/>
          </w:tcPr>
          <w:p>
            <w:pPr>
              <w:pStyle w:val="TableContents"/>
              <w:bidi w:val="0"/>
              <w:spacing w:before="0" w:after="283"/>
              <w:jc w:val="left"/>
              <w:rPr/>
            </w:pPr>
            <w:r>
              <w:rPr/>
              <w:t> </w:t>
            </w:r>
          </w:p>
        </w:tc>
        <w:tc>
          <w:tcPr>
            <w:tcW w:w="407" w:type="dxa"/>
            <w:tcBorders/>
            <w:shd w:fill="CFF0FC" w:val="clear"/>
            <w:vAlign w:val="center"/>
          </w:tcPr>
          <w:p>
            <w:pPr>
              <w:pStyle w:val="TableContents"/>
              <w:bidi w:val="0"/>
              <w:spacing w:before="0" w:after="283"/>
              <w:jc w:val="left"/>
              <w:rPr/>
            </w:pPr>
            <w:r>
              <w:rPr/>
              <w:t> </w:t>
            </w:r>
          </w:p>
        </w:tc>
        <w:tc>
          <w:tcPr>
            <w:tcW w:w="107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2" w:type="dxa"/>
            <w:tcBorders/>
            <w:shd w:fill="CFF0FC" w:val="clear"/>
            <w:vAlign w:val="center"/>
          </w:tcPr>
          <w:p>
            <w:pPr>
              <w:pStyle w:val="TableContents"/>
              <w:bidi w:val="0"/>
              <w:spacing w:before="0" w:after="283"/>
              <w:jc w:val="left"/>
              <w:rPr/>
            </w:pPr>
            <w:r>
              <w:rPr/>
              <w:t> </w:t>
            </w:r>
          </w:p>
        </w:tc>
        <w:tc>
          <w:tcPr>
            <w:tcW w:w="105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2,066</w:t>
            </w:r>
          </w:p>
        </w:tc>
        <w:tc>
          <w:tcPr>
            <w:tcW w:w="794" w:type="dxa"/>
            <w:tcBorders/>
            <w:shd w:fill="CFF0FC" w:val="clear"/>
            <w:vAlign w:val="center"/>
          </w:tcPr>
          <w:p>
            <w:pPr>
              <w:pStyle w:val="TableContents"/>
              <w:bidi w:val="0"/>
              <w:spacing w:before="0" w:after="283"/>
              <w:ind w:left="0" w:right="0" w:firstLine="200"/>
              <w:jc w:val="left"/>
              <w:rPr/>
            </w:pPr>
            <w:r>
              <w:rPr/>
              <w:t> </w:t>
            </w:r>
          </w:p>
        </w:tc>
      </w:tr>
      <w:tr>
        <w:trPr/>
        <w:tc>
          <w:tcPr>
            <w:tcW w:w="606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Accumulated deficit</w:t>
            </w:r>
          </w:p>
        </w:tc>
        <w:tc>
          <w:tcPr>
            <w:tcW w:w="146"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52"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(1,075</w:t>
            </w:r>
          </w:p>
        </w:tc>
        <w:tc>
          <w:tcPr>
            <w:tcW w:w="794"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06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Accumulated other comprehensive loss</w:t>
            </w:r>
          </w:p>
        </w:tc>
        <w:tc>
          <w:tcPr>
            <w:tcW w:w="146" w:type="dxa"/>
            <w:tcBorders/>
            <w:shd w:fill="CFF0FC" w:val="clear"/>
            <w:vAlign w:val="center"/>
          </w:tcPr>
          <w:p>
            <w:pPr>
              <w:pStyle w:val="TableContents"/>
              <w:bidi w:val="0"/>
              <w:spacing w:before="0" w:after="283"/>
              <w:jc w:val="left"/>
              <w:rPr/>
            </w:pPr>
            <w:r>
              <w:rPr/>
              <w:t> </w:t>
            </w:r>
          </w:p>
        </w:tc>
        <w:tc>
          <w:tcPr>
            <w:tcW w:w="4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6062"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NOW Inc. stockholders' equity</w:t>
            </w:r>
          </w:p>
        </w:tc>
        <w:tc>
          <w:tcPr>
            <w:tcW w:w="146"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2"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842</w:t>
            </w:r>
          </w:p>
        </w:tc>
        <w:tc>
          <w:tcPr>
            <w:tcW w:w="794" w:type="dxa"/>
            <w:tcBorders/>
            <w:shd w:fill="FFFFFF" w:val="clear"/>
            <w:vAlign w:val="center"/>
          </w:tcPr>
          <w:p>
            <w:pPr>
              <w:pStyle w:val="TableContents"/>
              <w:bidi w:val="0"/>
              <w:spacing w:before="0" w:after="283"/>
              <w:ind w:left="0" w:right="0" w:firstLine="200"/>
              <w:jc w:val="left"/>
              <w:rPr/>
            </w:pPr>
            <w:r>
              <w:rPr/>
              <w:t> </w:t>
            </w:r>
          </w:p>
        </w:tc>
      </w:tr>
      <w:tr>
        <w:trPr/>
        <w:tc>
          <w:tcPr>
            <w:tcW w:w="606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Noncontrolling interest</w:t>
            </w:r>
          </w:p>
        </w:tc>
        <w:tc>
          <w:tcPr>
            <w:tcW w:w="146" w:type="dxa"/>
            <w:tcBorders/>
            <w:shd w:fill="CFF0FC" w:val="clear"/>
            <w:vAlign w:val="center"/>
          </w:tcPr>
          <w:p>
            <w:pPr>
              <w:pStyle w:val="TableContents"/>
              <w:bidi w:val="0"/>
              <w:spacing w:before="0" w:after="283"/>
              <w:jc w:val="left"/>
              <w:rPr/>
            </w:pPr>
            <w:r>
              <w:rPr/>
              <w:t> </w:t>
            </w:r>
          </w:p>
        </w:tc>
        <w:tc>
          <w:tcPr>
            <w:tcW w:w="4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62"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stockholders' equity</w:t>
            </w:r>
          </w:p>
        </w:tc>
        <w:tc>
          <w:tcPr>
            <w:tcW w:w="146" w:type="dxa"/>
            <w:tcBorders/>
            <w:shd w:fill="FFFFFF" w:val="clear"/>
            <w:vAlign w:val="center"/>
          </w:tcPr>
          <w:p>
            <w:pPr>
              <w:pStyle w:val="TableContents"/>
              <w:bidi w:val="0"/>
              <w:spacing w:before="0" w:after="283"/>
              <w:jc w:val="left"/>
              <w:rPr/>
            </w:pPr>
            <w:r>
              <w:rPr/>
              <w:t> </w:t>
            </w:r>
          </w:p>
        </w:tc>
        <w:tc>
          <w:tcPr>
            <w:tcW w:w="4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844</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062"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Total liabilities and stockholders' equity</w:t>
            </w:r>
          </w:p>
        </w:tc>
        <w:tc>
          <w:tcPr>
            <w:tcW w:w="146" w:type="dxa"/>
            <w:tcBorders/>
            <w:shd w:fill="CFF0FC" w:val="clear"/>
            <w:vAlign w:val="center"/>
          </w:tcPr>
          <w:p>
            <w:pPr>
              <w:pStyle w:val="TableContents"/>
              <w:bidi w:val="0"/>
              <w:spacing w:before="0" w:after="283"/>
              <w:jc w:val="left"/>
              <w:rPr/>
            </w:pPr>
            <w:r>
              <w:rPr/>
              <w:t> </w:t>
            </w:r>
          </w:p>
        </w:tc>
        <w:tc>
          <w:tcPr>
            <w:tcW w:w="4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1,320</w:t>
            </w:r>
          </w:p>
        </w:tc>
        <w:tc>
          <w:tcPr>
            <w:tcW w:w="7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b w:val="false"/>
          <w:color w:val="000000"/>
          <w:sz w:val="20"/>
        </w:rPr>
      </w:pPr>
      <w:r>
        <w:rPr>
          <w:rFonts w:ascii="Times New Roman" w:hAnsi="Times New Roman"/>
          <w:b w:val="false"/>
          <w:color w:val="000000"/>
          <w:sz w:val="20"/>
        </w:rPr>
        <w:t>See notes to unaudited consolidated financial statements.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NOW INC.</w:t>
      </w:r>
    </w:p>
    <w:p>
      <w:pPr>
        <w:pStyle w:val="TextBody"/>
        <w:bidi w:val="0"/>
        <w:jc w:val="center"/>
        <w:rPr>
          <w:rFonts w:ascii="Times New Roman" w:hAnsi="Times New Roman"/>
          <w:sz w:val="20"/>
        </w:rPr>
      </w:pPr>
      <w:bookmarkStart w:id="5" w:name="consolidated_statements_income_unaudited"/>
      <w:bookmarkEnd w:id="5"/>
      <w:r>
        <w:rPr>
          <w:rFonts w:ascii="Times New Roman" w:hAnsi="Times New Roman"/>
          <w:b/>
          <w:color w:val="000000"/>
          <w:sz w:val="20"/>
        </w:rPr>
        <w:t>CONSOLIDATED STATEMENTS</w:t>
      </w:r>
      <w:r>
        <w:rPr>
          <w:rFonts w:ascii="Times New Roman" w:hAnsi="Times New Roman"/>
          <w:color w:val="000000"/>
          <w:sz w:val="20"/>
        </w:rPr>
        <w:t xml:space="preserve"> </w:t>
      </w:r>
      <w:r>
        <w:rPr>
          <w:rFonts w:ascii="Times New Roman" w:hAnsi="Times New Roman"/>
          <w:b/>
          <w:color w:val="000000"/>
          <w:sz w:val="20"/>
        </w:rPr>
        <w:t>OF OPERATIONS (UNAUDITED)</w:t>
      </w:r>
    </w:p>
    <w:p>
      <w:pPr>
        <w:pStyle w:val="TextBody"/>
        <w:bidi w:val="0"/>
        <w:jc w:val="center"/>
        <w:rPr>
          <w:rFonts w:ascii="Times New Roman" w:hAnsi="Times New Roman"/>
          <w:b/>
          <w:i/>
          <w:color w:val="000000"/>
          <w:sz w:val="20"/>
        </w:rPr>
      </w:pPr>
      <w:r>
        <w:rPr>
          <w:rFonts w:ascii="Times New Roman" w:hAnsi="Times New Roman"/>
          <w:b/>
          <w:i/>
          <w:color w:val="000000"/>
          <w:sz w:val="20"/>
        </w:rPr>
        <w:t>(In millions, except per share data)</w:t>
      </w:r>
    </w:p>
    <w:tbl>
      <w:tblPr>
        <w:tblW w:w="10205" w:type="dxa"/>
        <w:jc w:val="left"/>
        <w:tblInd w:w="0" w:type="dxa"/>
        <w:tblLayout w:type="fixed"/>
        <w:tblCellMar>
          <w:top w:w="28" w:type="dxa"/>
          <w:left w:w="28" w:type="dxa"/>
          <w:bottom w:w="28" w:type="dxa"/>
          <w:right w:w="28" w:type="dxa"/>
        </w:tblCellMar>
      </w:tblPr>
      <w:tblGrid>
        <w:gridCol w:w="4129"/>
        <w:gridCol w:w="146"/>
        <w:gridCol w:w="337"/>
        <w:gridCol w:w="746"/>
        <w:gridCol w:w="233"/>
        <w:gridCol w:w="233"/>
        <w:gridCol w:w="337"/>
        <w:gridCol w:w="746"/>
        <w:gridCol w:w="146"/>
        <w:gridCol w:w="146"/>
        <w:gridCol w:w="293"/>
        <w:gridCol w:w="795"/>
        <w:gridCol w:w="231"/>
        <w:gridCol w:w="203"/>
        <w:gridCol w:w="293"/>
        <w:gridCol w:w="795"/>
        <w:gridCol w:w="396"/>
      </w:tblGrid>
      <w:tr>
        <w:trPr/>
        <w:tc>
          <w:tcPr>
            <w:tcW w:w="41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412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6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3" w:type="dxa"/>
            <w:tcBorders/>
            <w:shd w:fill="FFFFFF" w:val="clear"/>
            <w:vAlign w:val="center"/>
          </w:tcPr>
          <w:p>
            <w:pPr>
              <w:pStyle w:val="TableContents"/>
              <w:bidi w:val="0"/>
              <w:spacing w:before="0" w:after="283"/>
              <w:jc w:val="center"/>
              <w:rPr/>
            </w:pPr>
            <w:r>
              <w:rPr/>
              <w:t> </w:t>
            </w:r>
          </w:p>
        </w:tc>
        <w:tc>
          <w:tcPr>
            <w:tcW w:w="10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3" w:type="dxa"/>
            <w:tcBorders/>
            <w:shd w:fill="FFFFFF" w:val="clear"/>
            <w:vAlign w:val="center"/>
          </w:tcPr>
          <w:p>
            <w:pPr>
              <w:pStyle w:val="TableContents"/>
              <w:bidi w:val="0"/>
              <w:spacing w:before="0" w:after="283"/>
              <w:jc w:val="center"/>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33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4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588</w:t>
            </w:r>
          </w:p>
        </w:tc>
        <w:tc>
          <w:tcPr>
            <w:tcW w:w="233"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right"/>
              <w:rPr/>
            </w:pPr>
            <w:r>
              <w:rPr/>
              <w:t> </w:t>
            </w:r>
          </w:p>
        </w:tc>
        <w:tc>
          <w:tcPr>
            <w:tcW w:w="33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4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1,766</w:t>
            </w:r>
          </w:p>
        </w:tc>
        <w:tc>
          <w:tcPr>
            <w:tcW w:w="231"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right"/>
              <w:rPr/>
            </w:pPr>
            <w:r>
              <w:rPr/>
              <w:t> </w:t>
            </w:r>
          </w:p>
        </w:tc>
        <w:tc>
          <w:tcPr>
            <w:tcW w:w="29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1,589</w:t>
            </w:r>
          </w:p>
        </w:tc>
        <w:tc>
          <w:tcPr>
            <w:tcW w:w="396" w:type="dxa"/>
            <w:tcBorders/>
            <w:shd w:fill="CFF0FC" w:val="clear"/>
            <w:vAlign w:val="center"/>
          </w:tcPr>
          <w:p>
            <w:pPr>
              <w:pStyle w:val="TableContents"/>
              <w:bidi w:val="0"/>
              <w:spacing w:before="0" w:after="283"/>
              <w:jc w:val="left"/>
              <w:rPr/>
            </w:pPr>
            <w:r>
              <w:rPr/>
              <w:t> </w:t>
            </w:r>
          </w:p>
        </w:tc>
      </w:tr>
      <w:tr>
        <w:trPr/>
        <w:tc>
          <w:tcPr>
            <w:tcW w:w="412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083" w:type="dxa"/>
            <w:gridSpan w:val="2"/>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right"/>
              <w:rPr/>
            </w:pPr>
            <w:r>
              <w:rPr/>
              <w:t> </w:t>
            </w:r>
          </w:p>
        </w:tc>
        <w:tc>
          <w:tcPr>
            <w:tcW w:w="108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88" w:type="dxa"/>
            <w:gridSpan w:val="2"/>
            <w:tcBorders/>
            <w:shd w:fill="FFFFFF" w:val="clear"/>
            <w:vAlign w:val="center"/>
          </w:tcPr>
          <w:p>
            <w:pPr>
              <w:pStyle w:val="TableContents"/>
              <w:bidi w:val="0"/>
              <w:spacing w:before="0" w:after="283"/>
              <w:jc w:val="right"/>
              <w:rPr/>
            </w:pPr>
            <w:r>
              <w:rPr/>
              <w:t> </w:t>
            </w:r>
          </w:p>
        </w:tc>
        <w:tc>
          <w:tcPr>
            <w:tcW w:w="231" w:type="dxa"/>
            <w:tcBorders/>
            <w:shd w:fill="FFFFFF" w:val="clear"/>
            <w:vAlign w:val="center"/>
          </w:tcPr>
          <w:p>
            <w:pPr>
              <w:pStyle w:val="TableContents"/>
              <w:bidi w:val="0"/>
              <w:spacing w:before="0" w:after="283"/>
              <w:jc w:val="right"/>
              <w:rPr/>
            </w:pPr>
            <w:r>
              <w:rPr/>
              <w:t> </w:t>
            </w:r>
          </w:p>
        </w:tc>
        <w:tc>
          <w:tcPr>
            <w:tcW w:w="203" w:type="dxa"/>
            <w:tcBorders/>
            <w:shd w:fill="FFFFFF" w:val="clear"/>
            <w:vAlign w:val="center"/>
          </w:tcPr>
          <w:p>
            <w:pPr>
              <w:pStyle w:val="TableContents"/>
              <w:bidi w:val="0"/>
              <w:spacing w:before="0" w:after="283"/>
              <w:jc w:val="right"/>
              <w:rPr/>
            </w:pPr>
            <w:r>
              <w:rPr/>
              <w:t> </w:t>
            </w:r>
          </w:p>
        </w:tc>
        <w:tc>
          <w:tcPr>
            <w:tcW w:w="1088" w:type="dxa"/>
            <w:gridSpan w:val="2"/>
            <w:tcBorders/>
            <w:shd w:fill="FFFFFF" w:val="clear"/>
            <w:vAlign w:val="center"/>
          </w:tcPr>
          <w:p>
            <w:pPr>
              <w:pStyle w:val="TableContents"/>
              <w:bidi w:val="0"/>
              <w:spacing w:before="0" w:after="283"/>
              <w:jc w:val="right"/>
              <w:rPr/>
            </w:pPr>
            <w:r>
              <w:rPr/>
              <w:t> </w:t>
            </w:r>
          </w:p>
        </w:tc>
        <w:tc>
          <w:tcPr>
            <w:tcW w:w="396" w:type="dxa"/>
            <w:tcBorders/>
            <w:shd w:fill="FFFFFF" w:val="clear"/>
            <w:vAlign w:val="center"/>
          </w:tcPr>
          <w:p>
            <w:pPr>
              <w:pStyle w:val="TableContents"/>
              <w:bidi w:val="0"/>
              <w:spacing w:before="0" w:after="283"/>
              <w:ind w:left="0" w:right="0" w:firstLine="200"/>
              <w:jc w:val="right"/>
              <w:rPr/>
            </w:pPr>
            <w:r>
              <w:rPr/>
              <w:t> </w:t>
            </w:r>
          </w:p>
        </w:tc>
      </w:tr>
      <w:tr>
        <w:trPr/>
        <w:tc>
          <w:tcPr>
            <w:tcW w:w="412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Cost of products</w:t>
            </w:r>
          </w:p>
        </w:tc>
        <w:tc>
          <w:tcPr>
            <w:tcW w:w="146" w:type="dxa"/>
            <w:tcBorders/>
            <w:shd w:fill="CFF0FC" w:val="clear"/>
            <w:vAlign w:val="center"/>
          </w:tcPr>
          <w:p>
            <w:pPr>
              <w:pStyle w:val="TableContents"/>
              <w:bidi w:val="0"/>
              <w:spacing w:before="0" w:after="283"/>
              <w:jc w:val="left"/>
              <w:rPr/>
            </w:pPr>
            <w:r>
              <w:rPr/>
              <w:t> </w:t>
            </w:r>
          </w:p>
        </w:tc>
        <w:tc>
          <w:tcPr>
            <w:tcW w:w="33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4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454</w:t>
            </w:r>
          </w:p>
        </w:tc>
        <w:tc>
          <w:tcPr>
            <w:tcW w:w="233"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right"/>
              <w:rPr/>
            </w:pPr>
            <w:r>
              <w:rPr/>
              <w:t> </w:t>
            </w:r>
          </w:p>
        </w:tc>
        <w:tc>
          <w:tcPr>
            <w:tcW w:w="337" w:type="dxa"/>
            <w:tcBorders/>
            <w:shd w:fill="CFF0FC" w:val="clear"/>
            <w:vAlign w:val="center"/>
          </w:tcPr>
          <w:p>
            <w:pPr>
              <w:pStyle w:val="TableContents"/>
              <w:bidi w:val="0"/>
              <w:spacing w:before="0" w:after="283"/>
              <w:jc w:val="left"/>
              <w:rPr/>
            </w:pPr>
            <w:r>
              <w:rPr/>
              <w:t> </w:t>
            </w:r>
          </w:p>
        </w:tc>
        <w:tc>
          <w:tcPr>
            <w:tcW w:w="74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3"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1,361</w:t>
            </w:r>
          </w:p>
        </w:tc>
        <w:tc>
          <w:tcPr>
            <w:tcW w:w="231"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right"/>
              <w:rPr/>
            </w:pPr>
            <w:r>
              <w:rPr/>
              <w:t> </w:t>
            </w:r>
          </w:p>
        </w:tc>
        <w:tc>
          <w:tcPr>
            <w:tcW w:w="293"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1,215</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412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Warehousing, selling and administrative</w:t>
            </w:r>
          </w:p>
        </w:tc>
        <w:tc>
          <w:tcPr>
            <w:tcW w:w="146"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w:t>
            </w:r>
          </w:p>
        </w:tc>
        <w:tc>
          <w:tcPr>
            <w:tcW w:w="233"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right"/>
              <w:rPr/>
            </w:pPr>
            <w:r>
              <w:rPr/>
              <w:t> </w:t>
            </w:r>
          </w:p>
        </w:tc>
        <w:tc>
          <w:tcPr>
            <w:tcW w:w="337"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297</w:t>
            </w:r>
          </w:p>
        </w:tc>
        <w:tc>
          <w:tcPr>
            <w:tcW w:w="231"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right"/>
              <w:rPr/>
            </w:pPr>
            <w:r>
              <w:rPr/>
              <w:t> </w:t>
            </w:r>
          </w:p>
        </w:tc>
        <w:tc>
          <w:tcPr>
            <w:tcW w:w="293"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268</w:t>
            </w:r>
          </w:p>
        </w:tc>
        <w:tc>
          <w:tcPr>
            <w:tcW w:w="396" w:type="dxa"/>
            <w:tcBorders/>
            <w:shd w:fill="FFFFFF" w:val="clear"/>
            <w:vAlign w:val="center"/>
          </w:tcPr>
          <w:p>
            <w:pPr>
              <w:pStyle w:val="TableContents"/>
              <w:bidi w:val="0"/>
              <w:spacing w:before="0" w:after="283"/>
              <w:ind w:left="0" w:right="0" w:firstLine="200"/>
              <w:jc w:val="left"/>
              <w:rPr/>
            </w:pPr>
            <w:r>
              <w:rPr/>
              <w:t> </w:t>
            </w:r>
          </w:p>
        </w:tc>
      </w:tr>
      <w:tr>
        <w:trPr/>
        <w:tc>
          <w:tcPr>
            <w:tcW w:w="412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Impairment and other charges</w:t>
            </w:r>
          </w:p>
        </w:tc>
        <w:tc>
          <w:tcPr>
            <w:tcW w:w="146" w:type="dxa"/>
            <w:tcBorders/>
            <w:shd w:fill="CFF0FC" w:val="clear"/>
            <w:vAlign w:val="center"/>
          </w:tcPr>
          <w:p>
            <w:pPr>
              <w:pStyle w:val="TableContents"/>
              <w:bidi w:val="0"/>
              <w:spacing w:before="0" w:after="283"/>
              <w:jc w:val="lef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righ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righ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2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profit</w:t>
            </w:r>
          </w:p>
        </w:tc>
        <w:tc>
          <w:tcPr>
            <w:tcW w:w="146"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w:t>
            </w:r>
          </w:p>
        </w:tc>
        <w:tc>
          <w:tcPr>
            <w:tcW w:w="233"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right"/>
              <w:rPr/>
            </w:pPr>
            <w:r>
              <w:rPr/>
              <w:t> </w:t>
            </w:r>
          </w:p>
        </w:tc>
        <w:tc>
          <w:tcPr>
            <w:tcW w:w="337"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w:t>
            </w:r>
          </w:p>
        </w:tc>
        <w:tc>
          <w:tcPr>
            <w:tcW w:w="231"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right"/>
              <w:rPr/>
            </w:pPr>
            <w:r>
              <w:rPr/>
              <w:t> </w:t>
            </w:r>
          </w:p>
        </w:tc>
        <w:tc>
          <w:tcPr>
            <w:tcW w:w="293"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w:t>
            </w:r>
          </w:p>
        </w:tc>
        <w:tc>
          <w:tcPr>
            <w:tcW w:w="396" w:type="dxa"/>
            <w:tcBorders/>
            <w:shd w:fill="FFFFFF" w:val="clear"/>
            <w:vAlign w:val="center"/>
          </w:tcPr>
          <w:p>
            <w:pPr>
              <w:pStyle w:val="TableContents"/>
              <w:bidi w:val="0"/>
              <w:spacing w:before="0" w:after="283"/>
              <w:jc w:val="left"/>
              <w:rPr/>
            </w:pPr>
            <w:r>
              <w:rPr/>
              <w:t> </w:t>
            </w:r>
          </w:p>
        </w:tc>
      </w:tr>
      <w:tr>
        <w:trPr/>
        <w:tc>
          <w:tcPr>
            <w:tcW w:w="412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income (expense)</w:t>
            </w:r>
          </w:p>
        </w:tc>
        <w:tc>
          <w:tcPr>
            <w:tcW w:w="146" w:type="dxa"/>
            <w:tcBorders/>
            <w:shd w:fill="CFF0FC" w:val="clear"/>
            <w:vAlign w:val="center"/>
          </w:tcPr>
          <w:p>
            <w:pPr>
              <w:pStyle w:val="TableContents"/>
              <w:bidi w:val="0"/>
              <w:spacing w:before="0" w:after="283"/>
              <w:jc w:val="lef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righ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3" w:type="dxa"/>
            <w:tcBorders/>
            <w:shd w:fill="CFF0FC" w:val="clear"/>
            <w:vAlign w:val="center"/>
          </w:tcPr>
          <w:p>
            <w:pPr>
              <w:pStyle w:val="TableContents"/>
              <w:bidi w:val="0"/>
              <w:spacing w:before="0" w:after="283"/>
              <w:jc w:val="righ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2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Income before income taxes</w:t>
            </w:r>
          </w:p>
        </w:tc>
        <w:tc>
          <w:tcPr>
            <w:tcW w:w="146"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w:t>
            </w:r>
          </w:p>
        </w:tc>
        <w:tc>
          <w:tcPr>
            <w:tcW w:w="233"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right"/>
              <w:rPr/>
            </w:pPr>
            <w:r>
              <w:rPr/>
              <w:t> </w:t>
            </w:r>
          </w:p>
        </w:tc>
        <w:tc>
          <w:tcPr>
            <w:tcW w:w="337"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w:t>
            </w:r>
          </w:p>
        </w:tc>
        <w:tc>
          <w:tcPr>
            <w:tcW w:w="231"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right"/>
              <w:rPr/>
            </w:pPr>
            <w:r>
              <w:rPr/>
              <w:t> </w:t>
            </w:r>
          </w:p>
        </w:tc>
        <w:tc>
          <w:tcPr>
            <w:tcW w:w="293"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w:t>
            </w:r>
          </w:p>
        </w:tc>
        <w:tc>
          <w:tcPr>
            <w:tcW w:w="396" w:type="dxa"/>
            <w:tcBorders/>
            <w:shd w:fill="FFFFFF" w:val="clear"/>
            <w:vAlign w:val="center"/>
          </w:tcPr>
          <w:p>
            <w:pPr>
              <w:pStyle w:val="TableContents"/>
              <w:bidi w:val="0"/>
              <w:spacing w:before="0" w:after="283"/>
              <w:jc w:val="left"/>
              <w:rPr/>
            </w:pPr>
            <w:r>
              <w:rPr/>
              <w:t> </w:t>
            </w:r>
          </w:p>
        </w:tc>
      </w:tr>
      <w:tr>
        <w:trPr/>
        <w:tc>
          <w:tcPr>
            <w:tcW w:w="412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Income tax provision</w:t>
            </w:r>
          </w:p>
        </w:tc>
        <w:tc>
          <w:tcPr>
            <w:tcW w:w="146" w:type="dxa"/>
            <w:tcBorders/>
            <w:shd w:fill="CFF0FC" w:val="clear"/>
            <w:vAlign w:val="center"/>
          </w:tcPr>
          <w:p>
            <w:pPr>
              <w:pStyle w:val="TableContents"/>
              <w:bidi w:val="0"/>
              <w:spacing w:before="0" w:after="283"/>
              <w:jc w:val="lef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righ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righ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2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w:t>
            </w:r>
          </w:p>
        </w:tc>
        <w:tc>
          <w:tcPr>
            <w:tcW w:w="146"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w:t>
            </w:r>
          </w:p>
        </w:tc>
        <w:tc>
          <w:tcPr>
            <w:tcW w:w="233"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right"/>
              <w:rPr/>
            </w:pPr>
            <w:r>
              <w:rPr/>
              <w:t> </w:t>
            </w:r>
          </w:p>
        </w:tc>
        <w:tc>
          <w:tcPr>
            <w:tcW w:w="337"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w:t>
            </w:r>
          </w:p>
        </w:tc>
        <w:tc>
          <w:tcPr>
            <w:tcW w:w="231"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right"/>
              <w:rPr/>
            </w:pPr>
            <w:r>
              <w:rPr/>
              <w:t> </w:t>
            </w:r>
          </w:p>
        </w:tc>
        <w:tc>
          <w:tcPr>
            <w:tcW w:w="293"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w:t>
            </w:r>
          </w:p>
        </w:tc>
        <w:tc>
          <w:tcPr>
            <w:tcW w:w="396" w:type="dxa"/>
            <w:tcBorders/>
            <w:shd w:fill="FFFFFF" w:val="clear"/>
            <w:vAlign w:val="center"/>
          </w:tcPr>
          <w:p>
            <w:pPr>
              <w:pStyle w:val="TableContents"/>
              <w:bidi w:val="0"/>
              <w:spacing w:before="0" w:after="283"/>
              <w:ind w:left="0" w:right="0" w:firstLine="200"/>
              <w:jc w:val="left"/>
              <w:rPr/>
            </w:pPr>
            <w:r>
              <w:rPr/>
              <w:t> </w:t>
            </w:r>
          </w:p>
        </w:tc>
      </w:tr>
      <w:tr>
        <w:trPr/>
        <w:tc>
          <w:tcPr>
            <w:tcW w:w="412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income attributable to noncontrolling interest</w:t>
            </w:r>
          </w:p>
        </w:tc>
        <w:tc>
          <w:tcPr>
            <w:tcW w:w="146" w:type="dxa"/>
            <w:tcBorders/>
            <w:shd w:fill="CFF0FC" w:val="clear"/>
            <w:vAlign w:val="center"/>
          </w:tcPr>
          <w:p>
            <w:pPr>
              <w:pStyle w:val="TableContents"/>
              <w:bidi w:val="0"/>
              <w:spacing w:before="0" w:after="283"/>
              <w:jc w:val="lef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righ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righ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2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 attributable to NOW Inc.</w:t>
            </w:r>
          </w:p>
        </w:tc>
        <w:tc>
          <w:tcPr>
            <w:tcW w:w="146" w:type="dxa"/>
            <w:tcBorders/>
            <w:shd w:fill="FFFFFF" w:val="clear"/>
            <w:vAlign w:val="center"/>
          </w:tcPr>
          <w:p>
            <w:pPr>
              <w:pStyle w:val="TableContents"/>
              <w:bidi w:val="0"/>
              <w:spacing w:before="0" w:after="283"/>
              <w:jc w:val="left"/>
              <w:rPr/>
            </w:pPr>
            <w:r>
              <w:rPr/>
              <w:t> </w:t>
            </w:r>
          </w:p>
        </w:tc>
        <w:tc>
          <w:tcPr>
            <w:tcW w:w="3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right"/>
              <w:rPr/>
            </w:pPr>
            <w:r>
              <w:rPr/>
              <w:t> </w:t>
            </w:r>
          </w:p>
        </w:tc>
        <w:tc>
          <w:tcPr>
            <w:tcW w:w="3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righ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2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Earnings per share attributable to NOW Inc. stockholders:</w:t>
            </w:r>
          </w:p>
        </w:tc>
        <w:tc>
          <w:tcPr>
            <w:tcW w:w="146" w:type="dxa"/>
            <w:tcBorders/>
            <w:shd w:fill="CFF0FC" w:val="clear"/>
            <w:vAlign w:val="center"/>
          </w:tcPr>
          <w:p>
            <w:pPr>
              <w:pStyle w:val="TableContents"/>
              <w:bidi w:val="0"/>
              <w:spacing w:before="0" w:after="283"/>
              <w:jc w:val="left"/>
              <w:rPr/>
            </w:pPr>
            <w:r>
              <w:rPr/>
              <w:t> </w:t>
            </w:r>
          </w:p>
        </w:tc>
        <w:tc>
          <w:tcPr>
            <w:tcW w:w="1083" w:type="dxa"/>
            <w:gridSpan w:val="2"/>
            <w:tcBorders/>
            <w:shd w:fill="CFF0FC" w:val="clear"/>
            <w:vAlign w:val="center"/>
          </w:tcPr>
          <w:p>
            <w:pPr>
              <w:pStyle w:val="TableContents"/>
              <w:bidi w:val="0"/>
              <w:spacing w:before="0" w:after="283"/>
              <w:jc w:val="right"/>
              <w:rPr/>
            </w:pPr>
            <w:r>
              <w:rPr/>
              <w:t> </w:t>
            </w:r>
          </w:p>
        </w:tc>
        <w:tc>
          <w:tcPr>
            <w:tcW w:w="233" w:type="dxa"/>
            <w:tcBorders/>
            <w:shd w:fill="CFF0FC" w:val="clear"/>
            <w:vAlign w:val="center"/>
          </w:tcPr>
          <w:p>
            <w:pPr>
              <w:pStyle w:val="TableContents"/>
              <w:bidi w:val="0"/>
              <w:spacing w:before="0" w:after="283"/>
              <w:jc w:val="right"/>
              <w:rPr/>
            </w:pPr>
            <w:r>
              <w:rPr/>
              <w:t> </w:t>
            </w:r>
          </w:p>
        </w:tc>
        <w:tc>
          <w:tcPr>
            <w:tcW w:w="233" w:type="dxa"/>
            <w:tcBorders/>
            <w:shd w:fill="CFF0FC" w:val="clear"/>
            <w:vAlign w:val="center"/>
          </w:tcPr>
          <w:p>
            <w:pPr>
              <w:pStyle w:val="TableContents"/>
              <w:bidi w:val="0"/>
              <w:spacing w:before="0" w:after="283"/>
              <w:jc w:val="right"/>
              <w:rPr/>
            </w:pPr>
            <w:r>
              <w:rPr/>
              <w:t> </w:t>
            </w:r>
          </w:p>
        </w:tc>
        <w:tc>
          <w:tcPr>
            <w:tcW w:w="108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88" w:type="dxa"/>
            <w:gridSpan w:val="2"/>
            <w:tcBorders/>
            <w:shd w:fill="CFF0FC" w:val="clear"/>
            <w:vAlign w:val="center"/>
          </w:tcPr>
          <w:p>
            <w:pPr>
              <w:pStyle w:val="TableContents"/>
              <w:bidi w:val="0"/>
              <w:spacing w:before="0" w:after="283"/>
              <w:jc w:val="right"/>
              <w:rPr/>
            </w:pPr>
            <w:r>
              <w:rPr/>
              <w:t> </w:t>
            </w:r>
          </w:p>
        </w:tc>
        <w:tc>
          <w:tcPr>
            <w:tcW w:w="231" w:type="dxa"/>
            <w:tcBorders/>
            <w:shd w:fill="CFF0FC" w:val="clear"/>
            <w:vAlign w:val="center"/>
          </w:tcPr>
          <w:p>
            <w:pPr>
              <w:pStyle w:val="TableContents"/>
              <w:bidi w:val="0"/>
              <w:spacing w:before="0" w:after="283"/>
              <w:jc w:val="right"/>
              <w:rPr/>
            </w:pPr>
            <w:r>
              <w:rPr/>
              <w:t> </w:t>
            </w:r>
          </w:p>
        </w:tc>
        <w:tc>
          <w:tcPr>
            <w:tcW w:w="203" w:type="dxa"/>
            <w:tcBorders/>
            <w:shd w:fill="CFF0FC" w:val="clear"/>
            <w:vAlign w:val="center"/>
          </w:tcPr>
          <w:p>
            <w:pPr>
              <w:pStyle w:val="TableContents"/>
              <w:bidi w:val="0"/>
              <w:spacing w:before="0" w:after="283"/>
              <w:jc w:val="right"/>
              <w:rPr/>
            </w:pPr>
            <w:r>
              <w:rPr/>
              <w:t> </w:t>
            </w:r>
          </w:p>
        </w:tc>
        <w:tc>
          <w:tcPr>
            <w:tcW w:w="1088" w:type="dxa"/>
            <w:gridSpan w:val="2"/>
            <w:tcBorders/>
            <w:shd w:fill="CFF0FC" w:val="clear"/>
            <w:vAlign w:val="center"/>
          </w:tcPr>
          <w:p>
            <w:pPr>
              <w:pStyle w:val="TableContents"/>
              <w:bidi w:val="0"/>
              <w:spacing w:before="0" w:after="283"/>
              <w:jc w:val="right"/>
              <w:rPr/>
            </w:pPr>
            <w:r>
              <w:rPr/>
              <w:t> </w:t>
            </w:r>
          </w:p>
        </w:tc>
        <w:tc>
          <w:tcPr>
            <w:tcW w:w="396" w:type="dxa"/>
            <w:tcBorders/>
            <w:shd w:fill="CFF0FC" w:val="clear"/>
            <w:vAlign w:val="center"/>
          </w:tcPr>
          <w:p>
            <w:pPr>
              <w:pStyle w:val="TableContents"/>
              <w:bidi w:val="0"/>
              <w:spacing w:before="0" w:after="283"/>
              <w:ind w:left="0" w:right="0" w:firstLine="200"/>
              <w:jc w:val="right"/>
              <w:rPr/>
            </w:pPr>
            <w:r>
              <w:rPr/>
              <w:t> </w:t>
            </w:r>
          </w:p>
        </w:tc>
      </w:tr>
      <w:tr>
        <w:trPr/>
        <w:tc>
          <w:tcPr>
            <w:tcW w:w="412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Basic</w:t>
            </w:r>
          </w:p>
        </w:tc>
        <w:tc>
          <w:tcPr>
            <w:tcW w:w="146" w:type="dxa"/>
            <w:tcBorders/>
            <w:shd w:fill="FFFFFF" w:val="clear"/>
            <w:vAlign w:val="center"/>
          </w:tcPr>
          <w:p>
            <w:pPr>
              <w:pStyle w:val="TableContents"/>
              <w:bidi w:val="0"/>
              <w:spacing w:before="0" w:after="283"/>
              <w:jc w:val="left"/>
              <w:rPr/>
            </w:pPr>
            <w:r>
              <w:rPr/>
              <w:t> </w:t>
            </w:r>
          </w:p>
        </w:tc>
        <w:tc>
          <w:tcPr>
            <w:tcW w:w="3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0.32</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right"/>
              <w:rPr/>
            </w:pPr>
            <w:r>
              <w:rPr/>
              <w:t> </w:t>
            </w:r>
          </w:p>
        </w:tc>
        <w:tc>
          <w:tcPr>
            <w:tcW w:w="3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0.91</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righ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0.85</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2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Diluted</w:t>
            </w:r>
          </w:p>
        </w:tc>
        <w:tc>
          <w:tcPr>
            <w:tcW w:w="146" w:type="dxa"/>
            <w:tcBorders/>
            <w:shd w:fill="CFF0FC" w:val="clear"/>
            <w:vAlign w:val="center"/>
          </w:tcPr>
          <w:p>
            <w:pPr>
              <w:pStyle w:val="TableContents"/>
              <w:bidi w:val="0"/>
              <w:spacing w:before="0" w:after="283"/>
              <w:jc w:val="left"/>
              <w:rPr/>
            </w:pPr>
            <w:r>
              <w:rPr/>
              <w:t> </w:t>
            </w:r>
          </w:p>
        </w:tc>
        <w:tc>
          <w:tcPr>
            <w:tcW w:w="3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0.32</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right"/>
              <w:rPr/>
            </w:pPr>
            <w:r>
              <w:rPr/>
              <w:t> </w:t>
            </w:r>
          </w:p>
        </w:tc>
        <w:tc>
          <w:tcPr>
            <w:tcW w:w="3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0.90</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righ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0.85</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2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Weighted-average common shares outstanding, basic</w:t>
            </w:r>
          </w:p>
        </w:tc>
        <w:tc>
          <w:tcPr>
            <w:tcW w:w="146" w:type="dxa"/>
            <w:tcBorders/>
            <w:shd w:fill="FFFFFF" w:val="clear"/>
            <w:vAlign w:val="center"/>
          </w:tcPr>
          <w:p>
            <w:pPr>
              <w:pStyle w:val="TableContents"/>
              <w:bidi w:val="0"/>
              <w:spacing w:before="0" w:after="283"/>
              <w:jc w:val="left"/>
              <w:rPr/>
            </w:pPr>
            <w:r>
              <w:rPr/>
              <w:t> </w:t>
            </w:r>
          </w:p>
        </w:tc>
        <w:tc>
          <w:tcPr>
            <w:tcW w:w="3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right"/>
              <w:rPr/>
            </w:pPr>
            <w:r>
              <w:rPr/>
              <w:t> </w:t>
            </w:r>
          </w:p>
        </w:tc>
        <w:tc>
          <w:tcPr>
            <w:tcW w:w="3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righ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2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Weighted-average common shares outstanding, diluted</w:t>
            </w:r>
          </w:p>
        </w:tc>
        <w:tc>
          <w:tcPr>
            <w:tcW w:w="146" w:type="dxa"/>
            <w:tcBorders/>
            <w:shd w:fill="CFF0FC" w:val="clear"/>
            <w:vAlign w:val="center"/>
          </w:tcPr>
          <w:p>
            <w:pPr>
              <w:pStyle w:val="TableContents"/>
              <w:bidi w:val="0"/>
              <w:spacing w:before="0" w:after="283"/>
              <w:jc w:val="left"/>
              <w:rPr/>
            </w:pPr>
            <w:r>
              <w:rPr/>
              <w:t> </w:t>
            </w:r>
          </w:p>
        </w:tc>
        <w:tc>
          <w:tcPr>
            <w:tcW w:w="3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right"/>
              <w:rPr/>
            </w:pPr>
            <w:r>
              <w:rPr/>
              <w:t> </w:t>
            </w:r>
          </w:p>
        </w:tc>
        <w:tc>
          <w:tcPr>
            <w:tcW w:w="3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righ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b w:val="false"/>
          <w:color w:val="000000"/>
          <w:sz w:val="20"/>
        </w:rPr>
      </w:pPr>
      <w:r>
        <w:rPr>
          <w:rFonts w:ascii="Times New Roman" w:hAnsi="Times New Roman"/>
          <w:b w:val="false"/>
          <w:color w:val="000000"/>
          <w:sz w:val="20"/>
        </w:rPr>
        <w:t>See notes to unaudited consolidated financial statements.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NOW INC.</w:t>
      </w:r>
    </w:p>
    <w:p>
      <w:pPr>
        <w:pStyle w:val="TextBody"/>
        <w:bidi w:val="0"/>
        <w:jc w:val="center"/>
        <w:rPr>
          <w:rFonts w:ascii="Times New Roman" w:hAnsi="Times New Roman"/>
          <w:b/>
          <w:color w:val="000000"/>
          <w:sz w:val="20"/>
        </w:rPr>
      </w:pPr>
      <w:bookmarkStart w:id="6" w:name="consolidated_statements_comprehensive_in"/>
      <w:bookmarkEnd w:id="6"/>
      <w:r>
        <w:rPr>
          <w:rFonts w:ascii="Times New Roman" w:hAnsi="Times New Roman"/>
          <w:b/>
          <w:color w:val="000000"/>
          <w:sz w:val="20"/>
        </w:rPr>
        <w:t>CONSOLIDATED STATEMENTS OF COMPREHENSIVE INCOME (UNAUDITED)</w:t>
      </w:r>
    </w:p>
    <w:p>
      <w:pPr>
        <w:pStyle w:val="TextBody"/>
        <w:bidi w:val="0"/>
        <w:jc w:val="center"/>
        <w:rPr>
          <w:rFonts w:ascii="Times New Roman" w:hAnsi="Times New Roman"/>
          <w:b/>
          <w:i/>
          <w:color w:val="000000"/>
          <w:sz w:val="20"/>
        </w:rPr>
      </w:pPr>
      <w:r>
        <w:rPr>
          <w:rFonts w:ascii="Times New Roman" w:hAnsi="Times New Roman"/>
          <w:b/>
          <w:i/>
          <w:color w:val="000000"/>
          <w:sz w:val="20"/>
        </w:rPr>
        <w:t>(In millions)</w:t>
      </w:r>
    </w:p>
    <w:tbl>
      <w:tblPr>
        <w:tblW w:w="10205" w:type="dxa"/>
        <w:jc w:val="left"/>
        <w:tblInd w:w="0" w:type="dxa"/>
        <w:tblLayout w:type="fixed"/>
        <w:tblCellMar>
          <w:top w:w="28" w:type="dxa"/>
          <w:left w:w="28" w:type="dxa"/>
          <w:bottom w:w="28" w:type="dxa"/>
          <w:right w:w="28" w:type="dxa"/>
        </w:tblCellMar>
      </w:tblPr>
      <w:tblGrid>
        <w:gridCol w:w="4388"/>
        <w:gridCol w:w="373"/>
        <w:gridCol w:w="613"/>
        <w:gridCol w:w="294"/>
        <w:gridCol w:w="258"/>
        <w:gridCol w:w="373"/>
        <w:gridCol w:w="666"/>
        <w:gridCol w:w="166"/>
        <w:gridCol w:w="146"/>
        <w:gridCol w:w="365"/>
        <w:gridCol w:w="728"/>
        <w:gridCol w:w="252"/>
        <w:gridCol w:w="252"/>
        <w:gridCol w:w="365"/>
        <w:gridCol w:w="547"/>
        <w:gridCol w:w="419"/>
      </w:tblGrid>
      <w:tr>
        <w:trPr/>
        <w:tc>
          <w:tcPr>
            <w:tcW w:w="438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4388" w:type="dxa"/>
            <w:tcBorders/>
            <w:shd w:fill="FFFFFF" w:val="clear"/>
            <w:vAlign w:val="center"/>
          </w:tcPr>
          <w:p>
            <w:pPr>
              <w:pStyle w:val="TableContents"/>
              <w:bidi w:val="0"/>
              <w:spacing w:before="0" w:after="283"/>
              <w:jc w:val="left"/>
              <w:rPr/>
            </w:pPr>
            <w:r>
              <w:rPr/>
              <w:t> </w:t>
            </w:r>
          </w:p>
        </w:tc>
        <w:tc>
          <w:tcPr>
            <w:tcW w:w="25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8" w:type="dxa"/>
            <w:tcBorders/>
            <w:shd w:fill="FFFFFF" w:val="clear"/>
            <w:vAlign w:val="center"/>
          </w:tcPr>
          <w:p>
            <w:pPr>
              <w:pStyle w:val="TableContents"/>
              <w:bidi w:val="0"/>
              <w:spacing w:before="0" w:after="283"/>
              <w:jc w:val="left"/>
              <w:rPr/>
            </w:pPr>
            <w:r>
              <w:rPr/>
              <w:t> </w:t>
            </w:r>
          </w:p>
        </w:tc>
        <w:tc>
          <w:tcPr>
            <w:tcW w:w="9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8" w:type="dxa"/>
            <w:tcBorders/>
            <w:shd w:fill="FFFFFF" w:val="clear"/>
            <w:vAlign w:val="center"/>
          </w:tcPr>
          <w:p>
            <w:pPr>
              <w:pStyle w:val="TableContents"/>
              <w:bidi w:val="0"/>
              <w:spacing w:before="0" w:after="283"/>
              <w:jc w:val="center"/>
              <w:rPr/>
            </w:pPr>
            <w:r>
              <w:rP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2" w:type="dxa"/>
            <w:tcBorders/>
            <w:shd w:fill="FFFFFF" w:val="clear"/>
            <w:vAlign w:val="center"/>
          </w:tcPr>
          <w:p>
            <w:pPr>
              <w:pStyle w:val="TableContents"/>
              <w:bidi w:val="0"/>
              <w:spacing w:before="0" w:after="283"/>
              <w:jc w:val="center"/>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w:t>
            </w:r>
          </w:p>
        </w:tc>
        <w:tc>
          <w:tcPr>
            <w:tcW w:w="37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1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w:t>
            </w:r>
          </w:p>
        </w:tc>
        <w:tc>
          <w:tcPr>
            <w:tcW w:w="294"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right"/>
              <w:rPr/>
            </w:pPr>
            <w:r>
              <w:rPr/>
              <w:t> </w:t>
            </w:r>
          </w:p>
        </w:tc>
        <w:tc>
          <w:tcPr>
            <w:tcW w:w="37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6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w:t>
            </w:r>
          </w:p>
        </w:tc>
        <w:tc>
          <w:tcPr>
            <w:tcW w:w="252"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right"/>
              <w:rPr/>
            </w:pPr>
            <w:r>
              <w:rPr/>
              <w:t> </w:t>
            </w:r>
          </w:p>
        </w:tc>
        <w:tc>
          <w:tcPr>
            <w:tcW w:w="36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4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w:t>
            </w:r>
          </w:p>
        </w:tc>
        <w:tc>
          <w:tcPr>
            <w:tcW w:w="419" w:type="dxa"/>
            <w:tcBorders/>
            <w:shd w:fill="CFF0FC" w:val="clear"/>
            <w:vAlign w:val="center"/>
          </w:tcPr>
          <w:p>
            <w:pPr>
              <w:pStyle w:val="TableContents"/>
              <w:bidi w:val="0"/>
              <w:spacing w:before="0" w:after="283"/>
              <w:jc w:val="left"/>
              <w:rPr/>
            </w:pPr>
            <w:r>
              <w:rPr/>
              <w:t> </w:t>
            </w:r>
          </w:p>
        </w:tc>
      </w:tr>
      <w:tr>
        <w:trPr/>
        <w:tc>
          <w:tcPr>
            <w:tcW w:w="438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comprehensive income:</w:t>
            </w:r>
          </w:p>
        </w:tc>
        <w:tc>
          <w:tcPr>
            <w:tcW w:w="986" w:type="dxa"/>
            <w:gridSpan w:val="2"/>
            <w:tcBorders/>
            <w:shd w:fill="FFFFFF" w:val="clear"/>
            <w:vAlign w:val="center"/>
          </w:tcPr>
          <w:p>
            <w:pPr>
              <w:pStyle w:val="TableContents"/>
              <w:bidi w:val="0"/>
              <w:spacing w:before="0" w:after="283"/>
              <w:jc w:val="right"/>
              <w:rPr/>
            </w:pPr>
            <w:r>
              <w:rPr/>
              <w:t> </w:t>
            </w:r>
          </w:p>
        </w:tc>
        <w:tc>
          <w:tcPr>
            <w:tcW w:w="294" w:type="dxa"/>
            <w:tcBorders/>
            <w:shd w:fill="FFFFFF" w:val="clear"/>
            <w:vAlign w:val="center"/>
          </w:tcPr>
          <w:p>
            <w:pPr>
              <w:pStyle w:val="TableContents"/>
              <w:bidi w:val="0"/>
              <w:spacing w:before="0" w:after="283"/>
              <w:jc w:val="right"/>
              <w:rPr/>
            </w:pPr>
            <w:r>
              <w:rPr/>
              <w:t> </w:t>
            </w:r>
          </w:p>
        </w:tc>
        <w:tc>
          <w:tcPr>
            <w:tcW w:w="258" w:type="dxa"/>
            <w:tcBorders/>
            <w:shd w:fill="FFFFFF" w:val="clear"/>
            <w:vAlign w:val="center"/>
          </w:tcPr>
          <w:p>
            <w:pPr>
              <w:pStyle w:val="TableContents"/>
              <w:bidi w:val="0"/>
              <w:spacing w:before="0" w:after="283"/>
              <w:jc w:val="right"/>
              <w:rPr/>
            </w:pPr>
            <w:r>
              <w:rPr/>
              <w:t> </w:t>
            </w:r>
          </w:p>
        </w:tc>
        <w:tc>
          <w:tcPr>
            <w:tcW w:w="103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93" w:type="dxa"/>
            <w:gridSpan w:val="2"/>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right"/>
              <w:rPr/>
            </w:pPr>
            <w:r>
              <w:rPr/>
              <w:t> </w:t>
            </w:r>
          </w:p>
        </w:tc>
        <w:tc>
          <w:tcPr>
            <w:tcW w:w="912" w:type="dxa"/>
            <w:gridSpan w:val="2"/>
            <w:tcBorders/>
            <w:shd w:fill="FFFFFF" w:val="clear"/>
            <w:vAlign w:val="center"/>
          </w:tcPr>
          <w:p>
            <w:pPr>
              <w:pStyle w:val="TableContents"/>
              <w:bidi w:val="0"/>
              <w:spacing w:before="0" w:after="283"/>
              <w:jc w:val="right"/>
              <w:rPr/>
            </w:pPr>
            <w:r>
              <w:rPr/>
              <w:t> </w:t>
            </w:r>
          </w:p>
        </w:tc>
        <w:tc>
          <w:tcPr>
            <w:tcW w:w="419" w:type="dxa"/>
            <w:tcBorders/>
            <w:shd w:fill="FFFFFF" w:val="clear"/>
            <w:vAlign w:val="center"/>
          </w:tcPr>
          <w:p>
            <w:pPr>
              <w:pStyle w:val="TableContents"/>
              <w:bidi w:val="0"/>
              <w:spacing w:before="0" w:after="283"/>
              <w:ind w:left="0" w:right="0" w:firstLine="100"/>
              <w:jc w:val="right"/>
              <w:rPr/>
            </w:pPr>
            <w:r>
              <w:rPr/>
              <w:t> </w:t>
            </w:r>
          </w:p>
        </w:tc>
      </w:tr>
      <w:tr>
        <w:trPr/>
        <w:tc>
          <w:tcPr>
            <w:tcW w:w="4388"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Foreign currency translation adjustments</w:t>
            </w:r>
          </w:p>
        </w:tc>
        <w:tc>
          <w:tcPr>
            <w:tcW w:w="3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58" w:type="dxa"/>
            <w:tcBorders/>
            <w:shd w:fill="CFF0FC" w:val="clear"/>
            <w:vAlign w:val="center"/>
          </w:tcPr>
          <w:p>
            <w:pPr>
              <w:pStyle w:val="TableContents"/>
              <w:bidi w:val="0"/>
              <w:spacing w:before="0" w:after="283"/>
              <w:jc w:val="right"/>
              <w:rPr/>
            </w:pPr>
            <w:r>
              <w:rPr/>
              <w:t> </w:t>
            </w:r>
          </w:p>
        </w:tc>
        <w:tc>
          <w:tcPr>
            <w:tcW w:w="3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righ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w:t>
            </w:r>
          </w:p>
        </w:tc>
        <w:tc>
          <w:tcPr>
            <w:tcW w:w="41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4388"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Comprehensive income</w:t>
            </w:r>
          </w:p>
        </w:tc>
        <w:tc>
          <w:tcPr>
            <w:tcW w:w="373"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w:t>
            </w:r>
          </w:p>
        </w:tc>
        <w:tc>
          <w:tcPr>
            <w:tcW w:w="294"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right"/>
              <w:rPr/>
            </w:pPr>
            <w:r>
              <w:rPr/>
              <w:t> </w:t>
            </w:r>
          </w:p>
        </w:tc>
        <w:tc>
          <w:tcPr>
            <w:tcW w:w="373"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65"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w:t>
            </w:r>
          </w:p>
        </w:tc>
        <w:tc>
          <w:tcPr>
            <w:tcW w:w="252"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right"/>
              <w:rPr/>
            </w:pPr>
            <w:r>
              <w:rPr/>
              <w:t> </w:t>
            </w:r>
          </w:p>
        </w:tc>
        <w:tc>
          <w:tcPr>
            <w:tcW w:w="365"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w:t>
            </w:r>
          </w:p>
        </w:tc>
        <w:tc>
          <w:tcPr>
            <w:tcW w:w="419" w:type="dxa"/>
            <w:tcBorders/>
            <w:shd w:fill="FFFFFF" w:val="clear"/>
            <w:vAlign w:val="center"/>
          </w:tcPr>
          <w:p>
            <w:pPr>
              <w:pStyle w:val="TableContents"/>
              <w:bidi w:val="0"/>
              <w:spacing w:before="0" w:after="283"/>
              <w:jc w:val="left"/>
              <w:rPr/>
            </w:pPr>
            <w:r>
              <w:rPr/>
              <w:t> </w:t>
            </w:r>
          </w:p>
        </w:tc>
      </w:tr>
      <w:tr>
        <w:trPr/>
        <w:tc>
          <w:tcPr>
            <w:tcW w:w="438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Comprehensive income attributable to noncontrolling interest</w:t>
            </w:r>
          </w:p>
        </w:tc>
        <w:tc>
          <w:tcPr>
            <w:tcW w:w="3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right"/>
              <w:rPr/>
            </w:pPr>
            <w:r>
              <w:rPr/>
              <w:t> </w:t>
            </w:r>
          </w:p>
        </w:tc>
        <w:tc>
          <w:tcPr>
            <w:tcW w:w="3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righ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41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88"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Comprehensive income attributable to NOW Inc.</w:t>
            </w:r>
          </w:p>
        </w:tc>
        <w:tc>
          <w:tcPr>
            <w:tcW w:w="3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right"/>
              <w:rPr/>
            </w:pPr>
            <w:r>
              <w:rPr/>
              <w:t> </w:t>
            </w:r>
          </w:p>
        </w:tc>
        <w:tc>
          <w:tcPr>
            <w:tcW w:w="3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right"/>
              <w:rPr/>
            </w:pPr>
            <w:r>
              <w:rPr/>
              <w:t> </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w:t>
            </w:r>
          </w:p>
        </w:tc>
        <w:tc>
          <w:tcPr>
            <w:tcW w:w="4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See notes to unaudited consolidated financial statements.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5</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NOW INC.</w:t>
      </w:r>
    </w:p>
    <w:p>
      <w:pPr>
        <w:pStyle w:val="TextBody"/>
        <w:bidi w:val="0"/>
        <w:jc w:val="center"/>
        <w:rPr>
          <w:rFonts w:ascii="Times New Roman" w:hAnsi="Times New Roman"/>
          <w:b/>
          <w:color w:val="000000"/>
          <w:sz w:val="20"/>
        </w:rPr>
      </w:pPr>
      <w:bookmarkStart w:id="7" w:name="consolidated_statements_cash_flows_unaud"/>
      <w:bookmarkEnd w:id="7"/>
      <w:r>
        <w:rPr>
          <w:rFonts w:ascii="Times New Roman" w:hAnsi="Times New Roman"/>
          <w:b/>
          <w:color w:val="000000"/>
          <w:sz w:val="20"/>
        </w:rPr>
        <w:t>CONSOLIDATED STATEMENTS OF CASH FLOWS (UNAUDITED)</w:t>
      </w:r>
    </w:p>
    <w:p>
      <w:pPr>
        <w:pStyle w:val="TextBody"/>
        <w:bidi w:val="0"/>
        <w:jc w:val="center"/>
        <w:rPr>
          <w:rFonts w:ascii="Times New Roman" w:hAnsi="Times New Roman"/>
          <w:b/>
          <w:i/>
          <w:color w:val="000000"/>
          <w:sz w:val="20"/>
        </w:rPr>
      </w:pPr>
      <w:r>
        <w:rPr>
          <w:rFonts w:ascii="Times New Roman" w:hAnsi="Times New Roman"/>
          <w:b/>
          <w:i/>
          <w:color w:val="000000"/>
          <w:sz w:val="20"/>
        </w:rPr>
        <w:t>(In millions)</w:t>
      </w:r>
    </w:p>
    <w:tbl>
      <w:tblPr>
        <w:tblW w:w="10205" w:type="dxa"/>
        <w:jc w:val="left"/>
        <w:tblInd w:w="0" w:type="dxa"/>
        <w:tblLayout w:type="fixed"/>
        <w:tblCellMar>
          <w:top w:w="28" w:type="dxa"/>
          <w:left w:w="28" w:type="dxa"/>
          <w:bottom w:w="28" w:type="dxa"/>
          <w:right w:w="28" w:type="dxa"/>
        </w:tblCellMar>
      </w:tblPr>
      <w:tblGrid>
        <w:gridCol w:w="6767"/>
        <w:gridCol w:w="338"/>
        <w:gridCol w:w="676"/>
        <w:gridCol w:w="266"/>
        <w:gridCol w:w="234"/>
        <w:gridCol w:w="338"/>
        <w:gridCol w:w="772"/>
        <w:gridCol w:w="814"/>
      </w:tblGrid>
      <w:tr>
        <w:trPr/>
        <w:tc>
          <w:tcPr>
            <w:tcW w:w="676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6767" w:type="dxa"/>
            <w:tcBorders/>
            <w:shd w:fill="FFFFFF" w:val="clear"/>
            <w:vAlign w:val="center"/>
          </w:tcPr>
          <w:p>
            <w:pPr>
              <w:pStyle w:val="TableContents"/>
              <w:bidi w:val="0"/>
              <w:spacing w:before="0" w:after="283"/>
              <w:jc w:val="left"/>
              <w:rPr/>
            </w:pPr>
            <w:r>
              <w:rPr/>
              <w:t> </w:t>
            </w:r>
          </w:p>
        </w:tc>
        <w:tc>
          <w:tcPr>
            <w:tcW w:w="26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67" w:type="dxa"/>
            <w:tcBorders/>
            <w:shd w:fill="FFFFFF" w:val="clear"/>
            <w:vAlign w:val="center"/>
          </w:tcPr>
          <w:p>
            <w:pPr>
              <w:pStyle w:val="TableContents"/>
              <w:bidi w:val="0"/>
              <w:spacing w:before="0" w:after="283"/>
              <w:jc w:val="both"/>
              <w:rPr/>
            </w:pPr>
            <w:r>
              <w:rPr/>
              <w:t> </w:t>
            </w:r>
          </w:p>
        </w:tc>
        <w:tc>
          <w:tcPr>
            <w:tcW w:w="10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 w:type="dxa"/>
            <w:tcBorders/>
            <w:shd w:fill="FFFFFF" w:val="cle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67"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014" w:type="dxa"/>
            <w:gridSpan w:val="2"/>
            <w:tcBorders/>
            <w:shd w:fill="CFF0FC" w:val="clear"/>
            <w:vAlign w:val="center"/>
          </w:tcPr>
          <w:p>
            <w:pPr>
              <w:pStyle w:val="TableContents"/>
              <w:bidi w:val="0"/>
              <w:spacing w:before="0" w:after="283"/>
              <w:jc w:val="right"/>
              <w:rPr/>
            </w:pPr>
            <w:r>
              <w:rPr/>
              <w:t> </w:t>
            </w:r>
          </w:p>
        </w:tc>
        <w:tc>
          <w:tcPr>
            <w:tcW w:w="266" w:type="dxa"/>
            <w:tcBorders/>
            <w:shd w:fill="CFF0FC" w:val="clear"/>
            <w:vAlign w:val="center"/>
          </w:tcPr>
          <w:p>
            <w:pPr>
              <w:pStyle w:val="TableContents"/>
              <w:bidi w:val="0"/>
              <w:spacing w:before="0" w:after="283"/>
              <w:jc w:val="right"/>
              <w:rPr/>
            </w:pPr>
            <w:r>
              <w:rPr/>
              <w:t> </w:t>
            </w:r>
          </w:p>
        </w:tc>
        <w:tc>
          <w:tcPr>
            <w:tcW w:w="234" w:type="dxa"/>
            <w:tcBorders/>
            <w:shd w:fill="CFF0FC" w:val="clear"/>
            <w:vAlign w:val="center"/>
          </w:tcPr>
          <w:p>
            <w:pPr>
              <w:pStyle w:val="TableContents"/>
              <w:bidi w:val="0"/>
              <w:spacing w:before="0" w:after="283"/>
              <w:jc w:val="right"/>
              <w:rPr/>
            </w:pPr>
            <w:r>
              <w:rPr/>
              <w:t> </w:t>
            </w:r>
          </w:p>
        </w:tc>
        <w:tc>
          <w:tcPr>
            <w:tcW w:w="1110" w:type="dxa"/>
            <w:gridSpan w:val="2"/>
            <w:tcBorders/>
            <w:shd w:fill="CFF0FC" w:val="clear"/>
            <w:vAlign w:val="center"/>
          </w:tcPr>
          <w:p>
            <w:pPr>
              <w:pStyle w:val="TableContents"/>
              <w:bidi w:val="0"/>
              <w:spacing w:before="0" w:after="283"/>
              <w:jc w:val="right"/>
              <w:rPr/>
            </w:pPr>
            <w:r>
              <w:rPr/>
              <w:t> </w:t>
            </w:r>
          </w:p>
        </w:tc>
        <w:tc>
          <w:tcPr>
            <w:tcW w:w="814" w:type="dxa"/>
            <w:tcBorders/>
            <w:shd w:fill="CFF0FC" w:val="clear"/>
            <w:vAlign w:val="center"/>
          </w:tcPr>
          <w:p>
            <w:pPr>
              <w:pStyle w:val="TableContents"/>
              <w:bidi w:val="0"/>
              <w:spacing w:before="0" w:after="283"/>
              <w:ind w:left="0" w:right="0" w:firstLine="200"/>
              <w:jc w:val="right"/>
              <w:rPr/>
            </w:pPr>
            <w:r>
              <w:rPr/>
              <w:t> </w:t>
            </w:r>
          </w:p>
        </w:tc>
      </w:tr>
      <w:tr>
        <w:trPr/>
        <w:tc>
          <w:tcPr>
            <w:tcW w:w="6767"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income</w:t>
            </w:r>
          </w:p>
        </w:tc>
        <w:tc>
          <w:tcPr>
            <w:tcW w:w="33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w:t>
            </w:r>
          </w:p>
        </w:tc>
        <w:tc>
          <w:tcPr>
            <w:tcW w:w="26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right"/>
              <w:rPr/>
            </w:pPr>
            <w:r>
              <w:rPr/>
              <w:t> </w:t>
            </w:r>
          </w:p>
        </w:tc>
        <w:tc>
          <w:tcPr>
            <w:tcW w:w="33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w:t>
            </w:r>
          </w:p>
        </w:tc>
        <w:tc>
          <w:tcPr>
            <w:tcW w:w="814" w:type="dxa"/>
            <w:tcBorders/>
            <w:shd w:fill="FFFFFF" w:val="clear"/>
            <w:vAlign w:val="center"/>
          </w:tcPr>
          <w:p>
            <w:pPr>
              <w:pStyle w:val="TableContents"/>
              <w:bidi w:val="0"/>
              <w:spacing w:before="0" w:after="283"/>
              <w:ind w:left="0" w:right="0" w:firstLine="200"/>
              <w:jc w:val="left"/>
              <w:rPr/>
            </w:pPr>
            <w:r>
              <w:rPr/>
              <w:t> </w:t>
            </w:r>
          </w:p>
        </w:tc>
      </w:tr>
      <w:tr>
        <w:trPr/>
        <w:tc>
          <w:tcPr>
            <w:tcW w:w="6767"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Adjustments to reconcile net income to net cash provided by (used in) operating activities:</w:t>
            </w:r>
          </w:p>
        </w:tc>
        <w:tc>
          <w:tcPr>
            <w:tcW w:w="1014" w:type="dxa"/>
            <w:gridSpan w:val="2"/>
            <w:tcBorders/>
            <w:shd w:fill="CFF0FC" w:val="clear"/>
            <w:vAlign w:val="center"/>
          </w:tcPr>
          <w:p>
            <w:pPr>
              <w:pStyle w:val="TableContents"/>
              <w:bidi w:val="0"/>
              <w:spacing w:before="0" w:after="283"/>
              <w:jc w:val="right"/>
              <w:rPr/>
            </w:pPr>
            <w:r>
              <w:rPr/>
              <w:t> </w:t>
            </w:r>
          </w:p>
        </w:tc>
        <w:tc>
          <w:tcPr>
            <w:tcW w:w="266" w:type="dxa"/>
            <w:tcBorders/>
            <w:shd w:fill="CFF0FC" w:val="clear"/>
            <w:vAlign w:val="center"/>
          </w:tcPr>
          <w:p>
            <w:pPr>
              <w:pStyle w:val="TableContents"/>
              <w:bidi w:val="0"/>
              <w:spacing w:before="0" w:after="283"/>
              <w:jc w:val="right"/>
              <w:rPr/>
            </w:pPr>
            <w:r>
              <w:rPr/>
              <w:t> </w:t>
            </w:r>
          </w:p>
        </w:tc>
        <w:tc>
          <w:tcPr>
            <w:tcW w:w="234" w:type="dxa"/>
            <w:tcBorders/>
            <w:shd w:fill="CFF0FC" w:val="clear"/>
            <w:vAlign w:val="center"/>
          </w:tcPr>
          <w:p>
            <w:pPr>
              <w:pStyle w:val="TableContents"/>
              <w:bidi w:val="0"/>
              <w:spacing w:before="0" w:after="283"/>
              <w:jc w:val="right"/>
              <w:rPr/>
            </w:pPr>
            <w:r>
              <w:rPr/>
              <w:t> </w:t>
            </w:r>
          </w:p>
        </w:tc>
        <w:tc>
          <w:tcPr>
            <w:tcW w:w="1110" w:type="dxa"/>
            <w:gridSpan w:val="2"/>
            <w:tcBorders/>
            <w:shd w:fill="CFF0FC" w:val="clear"/>
            <w:vAlign w:val="center"/>
          </w:tcPr>
          <w:p>
            <w:pPr>
              <w:pStyle w:val="TableContents"/>
              <w:bidi w:val="0"/>
              <w:spacing w:before="0" w:after="283"/>
              <w:jc w:val="right"/>
              <w:rPr/>
            </w:pPr>
            <w:r>
              <w:rPr/>
              <w:t> </w:t>
            </w:r>
          </w:p>
        </w:tc>
        <w:tc>
          <w:tcPr>
            <w:tcW w:w="814" w:type="dxa"/>
            <w:tcBorders/>
            <w:shd w:fill="CFF0FC" w:val="clear"/>
            <w:vAlign w:val="center"/>
          </w:tcPr>
          <w:p>
            <w:pPr>
              <w:pStyle w:val="TableContents"/>
              <w:bidi w:val="0"/>
              <w:spacing w:before="0" w:after="283"/>
              <w:ind w:left="0" w:right="0" w:firstLine="400"/>
              <w:jc w:val="right"/>
              <w:rPr/>
            </w:pPr>
            <w:r>
              <w:rPr/>
              <w:t> </w:t>
            </w:r>
          </w:p>
        </w:tc>
      </w:tr>
      <w:tr>
        <w:trPr/>
        <w:tc>
          <w:tcPr>
            <w:tcW w:w="6767"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Depreciation and amortization</w:t>
            </w:r>
          </w:p>
        </w:tc>
        <w:tc>
          <w:tcPr>
            <w:tcW w:w="338"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w:t>
            </w:r>
          </w:p>
        </w:tc>
        <w:tc>
          <w:tcPr>
            <w:tcW w:w="26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right"/>
              <w:rPr/>
            </w:pPr>
            <w:r>
              <w:rPr/>
              <w:t> </w:t>
            </w:r>
          </w:p>
        </w:tc>
        <w:tc>
          <w:tcPr>
            <w:tcW w:w="338"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w:t>
            </w:r>
          </w:p>
        </w:tc>
        <w:tc>
          <w:tcPr>
            <w:tcW w:w="814" w:type="dxa"/>
            <w:tcBorders/>
            <w:shd w:fill="FFFFFF" w:val="clear"/>
            <w:vAlign w:val="center"/>
          </w:tcPr>
          <w:p>
            <w:pPr>
              <w:pStyle w:val="TableContents"/>
              <w:bidi w:val="0"/>
              <w:spacing w:before="0" w:after="283"/>
              <w:ind w:left="0" w:right="0" w:firstLine="400"/>
              <w:jc w:val="left"/>
              <w:rPr/>
            </w:pPr>
            <w:r>
              <w:rPr/>
              <w:t> </w:t>
            </w:r>
          </w:p>
        </w:tc>
      </w:tr>
      <w:tr>
        <w:trPr/>
        <w:tc>
          <w:tcPr>
            <w:tcW w:w="6767"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Provision for inventory</w:t>
            </w:r>
          </w:p>
        </w:tc>
        <w:tc>
          <w:tcPr>
            <w:tcW w:w="338"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c>
          <w:tcPr>
            <w:tcW w:w="26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right"/>
              <w:rPr/>
            </w:pPr>
            <w:r>
              <w:rPr/>
              <w:t> </w:t>
            </w:r>
          </w:p>
        </w:tc>
        <w:tc>
          <w:tcPr>
            <w:tcW w:w="338" w:type="dxa"/>
            <w:tcBorders/>
            <w:shd w:fill="CFF0FC" w:val="clear"/>
            <w:vAlign w:val="center"/>
          </w:tcPr>
          <w:p>
            <w:pPr>
              <w:pStyle w:val="TableContents"/>
              <w:bidi w:val="0"/>
              <w:spacing w:before="0" w:after="283"/>
              <w:jc w:val="left"/>
              <w:rPr/>
            </w:pPr>
            <w:r>
              <w:rPr/>
              <w:t> </w:t>
            </w:r>
          </w:p>
        </w:tc>
        <w:tc>
          <w:tcPr>
            <w:tcW w:w="77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c>
          <w:tcPr>
            <w:tcW w:w="814" w:type="dxa"/>
            <w:tcBorders/>
            <w:shd w:fill="CFF0FC" w:val="clear"/>
            <w:vAlign w:val="center"/>
          </w:tcPr>
          <w:p>
            <w:pPr>
              <w:pStyle w:val="TableContents"/>
              <w:bidi w:val="0"/>
              <w:spacing w:before="0" w:after="283"/>
              <w:ind w:left="0" w:right="0" w:firstLine="400"/>
              <w:jc w:val="left"/>
              <w:rPr/>
            </w:pPr>
            <w:r>
              <w:rPr/>
              <w:t> </w:t>
            </w:r>
          </w:p>
        </w:tc>
      </w:tr>
      <w:tr>
        <w:trPr/>
        <w:tc>
          <w:tcPr>
            <w:tcW w:w="6767"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Impairment and other charges</w:t>
            </w:r>
          </w:p>
        </w:tc>
        <w:tc>
          <w:tcPr>
            <w:tcW w:w="338"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26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right"/>
              <w:rPr/>
            </w:pPr>
            <w:r>
              <w:rPr/>
              <w:t> </w:t>
            </w:r>
          </w:p>
        </w:tc>
        <w:tc>
          <w:tcPr>
            <w:tcW w:w="338"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814" w:type="dxa"/>
            <w:tcBorders/>
            <w:shd w:fill="FFFFFF" w:val="clear"/>
            <w:vAlign w:val="center"/>
          </w:tcPr>
          <w:p>
            <w:pPr>
              <w:pStyle w:val="TableContents"/>
              <w:bidi w:val="0"/>
              <w:spacing w:before="0" w:after="283"/>
              <w:ind w:left="0" w:right="0" w:firstLine="400"/>
              <w:jc w:val="left"/>
              <w:rPr/>
            </w:pPr>
            <w:r>
              <w:rPr/>
              <w:t> </w:t>
            </w:r>
          </w:p>
        </w:tc>
      </w:tr>
      <w:tr>
        <w:trPr/>
        <w:tc>
          <w:tcPr>
            <w:tcW w:w="6767"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Stock-based compensation</w:t>
            </w:r>
          </w:p>
        </w:tc>
        <w:tc>
          <w:tcPr>
            <w:tcW w:w="338"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w:t>
            </w:r>
          </w:p>
        </w:tc>
        <w:tc>
          <w:tcPr>
            <w:tcW w:w="26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right"/>
              <w:rPr/>
            </w:pPr>
            <w:r>
              <w:rPr/>
              <w:t> </w:t>
            </w:r>
          </w:p>
        </w:tc>
        <w:tc>
          <w:tcPr>
            <w:tcW w:w="338" w:type="dxa"/>
            <w:tcBorders/>
            <w:shd w:fill="CFF0FC" w:val="clear"/>
            <w:vAlign w:val="center"/>
          </w:tcPr>
          <w:p>
            <w:pPr>
              <w:pStyle w:val="TableContents"/>
              <w:bidi w:val="0"/>
              <w:spacing w:before="0" w:after="283"/>
              <w:jc w:val="left"/>
              <w:rPr/>
            </w:pPr>
            <w:r>
              <w:rPr/>
              <w:t> </w:t>
            </w:r>
          </w:p>
        </w:tc>
        <w:tc>
          <w:tcPr>
            <w:tcW w:w="77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c>
          <w:tcPr>
            <w:tcW w:w="814" w:type="dxa"/>
            <w:tcBorders/>
            <w:shd w:fill="CFF0FC" w:val="clear"/>
            <w:vAlign w:val="center"/>
          </w:tcPr>
          <w:p>
            <w:pPr>
              <w:pStyle w:val="TableContents"/>
              <w:bidi w:val="0"/>
              <w:spacing w:before="0" w:after="283"/>
              <w:ind w:left="0" w:right="0" w:firstLine="400"/>
              <w:jc w:val="left"/>
              <w:rPr/>
            </w:pPr>
            <w:r>
              <w:rPr/>
              <w:t> </w:t>
            </w:r>
          </w:p>
        </w:tc>
      </w:tr>
      <w:tr>
        <w:trPr/>
        <w:tc>
          <w:tcPr>
            <w:tcW w:w="6767"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Other, net</w:t>
            </w:r>
          </w:p>
        </w:tc>
        <w:tc>
          <w:tcPr>
            <w:tcW w:w="338"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w:t>
            </w:r>
          </w:p>
        </w:tc>
        <w:tc>
          <w:tcPr>
            <w:tcW w:w="26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right"/>
              <w:rPr/>
            </w:pPr>
            <w:r>
              <w:rPr/>
              <w:t> </w:t>
            </w:r>
          </w:p>
        </w:tc>
        <w:tc>
          <w:tcPr>
            <w:tcW w:w="338"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814"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767"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Change in operating assets and liabilities, net of effects of acquisitions:</w:t>
            </w:r>
          </w:p>
        </w:tc>
        <w:tc>
          <w:tcPr>
            <w:tcW w:w="1014" w:type="dxa"/>
            <w:gridSpan w:val="2"/>
            <w:tcBorders/>
            <w:shd w:fill="CFF0FC" w:val="clear"/>
            <w:vAlign w:val="center"/>
          </w:tcPr>
          <w:p>
            <w:pPr>
              <w:pStyle w:val="TableContents"/>
              <w:bidi w:val="0"/>
              <w:spacing w:before="0" w:after="283"/>
              <w:jc w:val="right"/>
              <w:rPr/>
            </w:pPr>
            <w:r>
              <w:rPr/>
              <w:t> </w:t>
            </w:r>
          </w:p>
        </w:tc>
        <w:tc>
          <w:tcPr>
            <w:tcW w:w="266" w:type="dxa"/>
            <w:tcBorders/>
            <w:shd w:fill="CFF0FC" w:val="clear"/>
            <w:vAlign w:val="center"/>
          </w:tcPr>
          <w:p>
            <w:pPr>
              <w:pStyle w:val="TableContents"/>
              <w:bidi w:val="0"/>
              <w:spacing w:before="0" w:after="283"/>
              <w:jc w:val="right"/>
              <w:rPr/>
            </w:pPr>
            <w:r>
              <w:rPr/>
              <w:t> </w:t>
            </w:r>
          </w:p>
        </w:tc>
        <w:tc>
          <w:tcPr>
            <w:tcW w:w="234" w:type="dxa"/>
            <w:tcBorders/>
            <w:shd w:fill="CFF0FC" w:val="clear"/>
            <w:vAlign w:val="center"/>
          </w:tcPr>
          <w:p>
            <w:pPr>
              <w:pStyle w:val="TableContents"/>
              <w:bidi w:val="0"/>
              <w:spacing w:before="0" w:after="283"/>
              <w:jc w:val="right"/>
              <w:rPr/>
            </w:pPr>
            <w:r>
              <w:rPr/>
              <w:t> </w:t>
            </w:r>
          </w:p>
        </w:tc>
        <w:tc>
          <w:tcPr>
            <w:tcW w:w="1110" w:type="dxa"/>
            <w:gridSpan w:val="2"/>
            <w:tcBorders/>
            <w:shd w:fill="CFF0FC" w:val="clear"/>
            <w:vAlign w:val="center"/>
          </w:tcPr>
          <w:p>
            <w:pPr>
              <w:pStyle w:val="TableContents"/>
              <w:bidi w:val="0"/>
              <w:spacing w:before="0" w:after="283"/>
              <w:jc w:val="right"/>
              <w:rPr/>
            </w:pPr>
            <w:r>
              <w:rPr/>
              <w:t> </w:t>
            </w:r>
          </w:p>
        </w:tc>
        <w:tc>
          <w:tcPr>
            <w:tcW w:w="814" w:type="dxa"/>
            <w:tcBorders/>
            <w:shd w:fill="CFF0FC" w:val="clear"/>
            <w:vAlign w:val="center"/>
          </w:tcPr>
          <w:p>
            <w:pPr>
              <w:pStyle w:val="TableContents"/>
              <w:bidi w:val="0"/>
              <w:spacing w:before="0" w:after="283"/>
              <w:ind w:left="0" w:right="0" w:firstLine="400"/>
              <w:jc w:val="right"/>
              <w:rPr/>
            </w:pPr>
            <w:r>
              <w:rPr/>
              <w:t> </w:t>
            </w:r>
          </w:p>
        </w:tc>
      </w:tr>
      <w:tr>
        <w:trPr/>
        <w:tc>
          <w:tcPr>
            <w:tcW w:w="6767"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Receivables</w:t>
            </w:r>
          </w:p>
        </w:tc>
        <w:tc>
          <w:tcPr>
            <w:tcW w:w="338"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26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right"/>
              <w:rPr/>
            </w:pPr>
            <w:r>
              <w:rPr/>
              <w:t> </w:t>
            </w:r>
          </w:p>
        </w:tc>
        <w:tc>
          <w:tcPr>
            <w:tcW w:w="338"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w:t>
            </w:r>
          </w:p>
        </w:tc>
        <w:tc>
          <w:tcPr>
            <w:tcW w:w="814"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6767"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Inventories</w:t>
            </w:r>
          </w:p>
        </w:tc>
        <w:tc>
          <w:tcPr>
            <w:tcW w:w="338"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w:t>
            </w:r>
          </w:p>
        </w:tc>
        <w:tc>
          <w:tcPr>
            <w:tcW w:w="2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34" w:type="dxa"/>
            <w:tcBorders/>
            <w:shd w:fill="CFF0FC" w:val="clear"/>
            <w:vAlign w:val="center"/>
          </w:tcPr>
          <w:p>
            <w:pPr>
              <w:pStyle w:val="TableContents"/>
              <w:bidi w:val="0"/>
              <w:spacing w:before="0" w:after="283"/>
              <w:jc w:val="right"/>
              <w:rPr/>
            </w:pPr>
            <w:r>
              <w:rPr/>
              <w:t> </w:t>
            </w:r>
          </w:p>
        </w:tc>
        <w:tc>
          <w:tcPr>
            <w:tcW w:w="338" w:type="dxa"/>
            <w:tcBorders/>
            <w:shd w:fill="CFF0FC" w:val="clear"/>
            <w:vAlign w:val="center"/>
          </w:tcPr>
          <w:p>
            <w:pPr>
              <w:pStyle w:val="TableContents"/>
              <w:bidi w:val="0"/>
              <w:spacing w:before="0" w:after="283"/>
              <w:jc w:val="left"/>
              <w:rPr/>
            </w:pPr>
            <w:r>
              <w:rPr/>
              <w:t> </w:t>
            </w:r>
          </w:p>
        </w:tc>
        <w:tc>
          <w:tcPr>
            <w:tcW w:w="77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w:t>
            </w:r>
          </w:p>
        </w:tc>
        <w:tc>
          <w:tcPr>
            <w:tcW w:w="814"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6767"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Prepaid and other current assets</w:t>
            </w:r>
          </w:p>
        </w:tc>
        <w:tc>
          <w:tcPr>
            <w:tcW w:w="338"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2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34" w:type="dxa"/>
            <w:tcBorders/>
            <w:shd w:fill="FFFFFF" w:val="clear"/>
            <w:vAlign w:val="center"/>
          </w:tcPr>
          <w:p>
            <w:pPr>
              <w:pStyle w:val="TableContents"/>
              <w:bidi w:val="0"/>
              <w:spacing w:before="0" w:after="283"/>
              <w:jc w:val="right"/>
              <w:rPr/>
            </w:pPr>
            <w:r>
              <w:rPr/>
              <w:t> </w:t>
            </w:r>
          </w:p>
        </w:tc>
        <w:tc>
          <w:tcPr>
            <w:tcW w:w="338"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814"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6767"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Accounts payable, accrued liabilities and other, net</w:t>
            </w:r>
          </w:p>
        </w:tc>
        <w:tc>
          <w:tcPr>
            <w:tcW w:w="3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34" w:type="dxa"/>
            <w:tcBorders/>
            <w:shd w:fill="CFF0FC" w:val="clear"/>
            <w:vAlign w:val="center"/>
          </w:tcPr>
          <w:p>
            <w:pPr>
              <w:pStyle w:val="TableContents"/>
              <w:bidi w:val="0"/>
              <w:spacing w:before="0" w:after="283"/>
              <w:jc w:val="right"/>
              <w:rPr/>
            </w:pPr>
            <w:r>
              <w:rPr/>
              <w:t> </w:t>
            </w:r>
          </w:p>
        </w:tc>
        <w:tc>
          <w:tcPr>
            <w:tcW w:w="3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767"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Net cash provided by (used in) operating activities</w:t>
            </w:r>
          </w:p>
        </w:tc>
        <w:tc>
          <w:tcPr>
            <w:tcW w:w="338"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w:t>
            </w:r>
          </w:p>
        </w:tc>
        <w:tc>
          <w:tcPr>
            <w:tcW w:w="26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right"/>
              <w:rPr/>
            </w:pPr>
            <w:r>
              <w:rPr/>
              <w:t> </w:t>
            </w:r>
          </w:p>
        </w:tc>
        <w:tc>
          <w:tcPr>
            <w:tcW w:w="338"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w:t>
            </w:r>
          </w:p>
        </w:tc>
        <w:tc>
          <w:tcPr>
            <w:tcW w:w="81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767"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014" w:type="dxa"/>
            <w:gridSpan w:val="2"/>
            <w:tcBorders/>
            <w:shd w:fill="CFF0FC" w:val="clear"/>
            <w:vAlign w:val="center"/>
          </w:tcPr>
          <w:p>
            <w:pPr>
              <w:pStyle w:val="TableContents"/>
              <w:bidi w:val="0"/>
              <w:spacing w:before="0" w:after="283"/>
              <w:jc w:val="right"/>
              <w:rPr/>
            </w:pPr>
            <w:r>
              <w:rPr/>
              <w:t> </w:t>
            </w:r>
          </w:p>
        </w:tc>
        <w:tc>
          <w:tcPr>
            <w:tcW w:w="266" w:type="dxa"/>
            <w:tcBorders/>
            <w:shd w:fill="CFF0FC" w:val="clear"/>
            <w:vAlign w:val="center"/>
          </w:tcPr>
          <w:p>
            <w:pPr>
              <w:pStyle w:val="TableContents"/>
              <w:bidi w:val="0"/>
              <w:spacing w:before="0" w:after="283"/>
              <w:jc w:val="right"/>
              <w:rPr/>
            </w:pPr>
            <w:r>
              <w:rPr/>
              <w:t> </w:t>
            </w:r>
          </w:p>
        </w:tc>
        <w:tc>
          <w:tcPr>
            <w:tcW w:w="234" w:type="dxa"/>
            <w:tcBorders/>
            <w:shd w:fill="CFF0FC" w:val="clear"/>
            <w:vAlign w:val="center"/>
          </w:tcPr>
          <w:p>
            <w:pPr>
              <w:pStyle w:val="TableContents"/>
              <w:bidi w:val="0"/>
              <w:spacing w:before="0" w:after="283"/>
              <w:jc w:val="right"/>
              <w:rPr/>
            </w:pPr>
            <w:r>
              <w:rPr/>
              <w:t> </w:t>
            </w:r>
          </w:p>
        </w:tc>
        <w:tc>
          <w:tcPr>
            <w:tcW w:w="1110" w:type="dxa"/>
            <w:gridSpan w:val="2"/>
            <w:tcBorders/>
            <w:shd w:fill="CFF0FC" w:val="clear"/>
            <w:vAlign w:val="center"/>
          </w:tcPr>
          <w:p>
            <w:pPr>
              <w:pStyle w:val="TableContents"/>
              <w:bidi w:val="0"/>
              <w:spacing w:before="0" w:after="283"/>
              <w:jc w:val="right"/>
              <w:rPr/>
            </w:pPr>
            <w:r>
              <w:rPr/>
              <w:t> </w:t>
            </w:r>
          </w:p>
        </w:tc>
        <w:tc>
          <w:tcPr>
            <w:tcW w:w="814" w:type="dxa"/>
            <w:tcBorders/>
            <w:shd w:fill="CFF0FC" w:val="clear"/>
            <w:vAlign w:val="center"/>
          </w:tcPr>
          <w:p>
            <w:pPr>
              <w:pStyle w:val="TableContents"/>
              <w:bidi w:val="0"/>
              <w:spacing w:before="0" w:after="283"/>
              <w:ind w:left="0" w:right="0" w:firstLine="400"/>
              <w:jc w:val="right"/>
              <w:rPr/>
            </w:pPr>
            <w:r>
              <w:rPr/>
              <w:t> </w:t>
            </w:r>
          </w:p>
        </w:tc>
      </w:tr>
      <w:tr>
        <w:trPr/>
        <w:tc>
          <w:tcPr>
            <w:tcW w:w="6767"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Business acquisitions, net of cash acquired</w:t>
            </w:r>
          </w:p>
        </w:tc>
        <w:tc>
          <w:tcPr>
            <w:tcW w:w="338"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w:t>
            </w:r>
          </w:p>
        </w:tc>
        <w:tc>
          <w:tcPr>
            <w:tcW w:w="2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34" w:type="dxa"/>
            <w:tcBorders/>
            <w:shd w:fill="FFFFFF" w:val="clear"/>
            <w:vAlign w:val="center"/>
          </w:tcPr>
          <w:p>
            <w:pPr>
              <w:pStyle w:val="TableContents"/>
              <w:bidi w:val="0"/>
              <w:spacing w:before="0" w:after="283"/>
              <w:jc w:val="right"/>
              <w:rPr/>
            </w:pPr>
            <w:r>
              <w:rPr/>
              <w:t> </w:t>
            </w:r>
          </w:p>
        </w:tc>
        <w:tc>
          <w:tcPr>
            <w:tcW w:w="338"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w:t>
            </w:r>
          </w:p>
        </w:tc>
        <w:tc>
          <w:tcPr>
            <w:tcW w:w="814"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6767"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Purchases of property, plant and equipment</w:t>
            </w:r>
          </w:p>
        </w:tc>
        <w:tc>
          <w:tcPr>
            <w:tcW w:w="338"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w:t>
            </w:r>
          </w:p>
        </w:tc>
        <w:tc>
          <w:tcPr>
            <w:tcW w:w="2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34" w:type="dxa"/>
            <w:tcBorders/>
            <w:shd w:fill="CFF0FC" w:val="clear"/>
            <w:vAlign w:val="center"/>
          </w:tcPr>
          <w:p>
            <w:pPr>
              <w:pStyle w:val="TableContents"/>
              <w:bidi w:val="0"/>
              <w:spacing w:before="0" w:after="283"/>
              <w:jc w:val="right"/>
              <w:rPr/>
            </w:pPr>
            <w:r>
              <w:rPr/>
              <w:t> </w:t>
            </w:r>
          </w:p>
        </w:tc>
        <w:tc>
          <w:tcPr>
            <w:tcW w:w="338" w:type="dxa"/>
            <w:tcBorders/>
            <w:shd w:fill="CFF0FC" w:val="clear"/>
            <w:vAlign w:val="center"/>
          </w:tcPr>
          <w:p>
            <w:pPr>
              <w:pStyle w:val="TableContents"/>
              <w:bidi w:val="0"/>
              <w:spacing w:before="0" w:after="283"/>
              <w:jc w:val="left"/>
              <w:rPr/>
            </w:pPr>
            <w:r>
              <w:rPr/>
              <w:t> </w:t>
            </w:r>
          </w:p>
        </w:tc>
        <w:tc>
          <w:tcPr>
            <w:tcW w:w="77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c>
          <w:tcPr>
            <w:tcW w:w="814"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6767"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Other, net</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righ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767"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Net cash provided by (used in) investing activities</w:t>
            </w:r>
          </w:p>
        </w:tc>
        <w:tc>
          <w:tcPr>
            <w:tcW w:w="338"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w:t>
            </w:r>
          </w:p>
        </w:tc>
        <w:tc>
          <w:tcPr>
            <w:tcW w:w="2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34" w:type="dxa"/>
            <w:tcBorders/>
            <w:shd w:fill="CFF0FC" w:val="clear"/>
            <w:vAlign w:val="center"/>
          </w:tcPr>
          <w:p>
            <w:pPr>
              <w:pStyle w:val="TableContents"/>
              <w:bidi w:val="0"/>
              <w:spacing w:before="0" w:after="283"/>
              <w:jc w:val="right"/>
              <w:rPr/>
            </w:pPr>
            <w:r>
              <w:rPr/>
              <w:t> </w:t>
            </w:r>
          </w:p>
        </w:tc>
        <w:tc>
          <w:tcPr>
            <w:tcW w:w="338" w:type="dxa"/>
            <w:tcBorders/>
            <w:shd w:fill="CFF0FC" w:val="clear"/>
            <w:vAlign w:val="center"/>
          </w:tcPr>
          <w:p>
            <w:pPr>
              <w:pStyle w:val="TableContents"/>
              <w:bidi w:val="0"/>
              <w:spacing w:before="0" w:after="283"/>
              <w:jc w:val="left"/>
              <w:rPr/>
            </w:pPr>
            <w:r>
              <w:rPr/>
              <w:t> </w:t>
            </w:r>
          </w:p>
        </w:tc>
        <w:tc>
          <w:tcPr>
            <w:tcW w:w="77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w:t>
            </w:r>
          </w:p>
        </w:tc>
        <w:tc>
          <w:tcPr>
            <w:tcW w:w="81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767"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014" w:type="dxa"/>
            <w:gridSpan w:val="2"/>
            <w:tcBorders/>
            <w:shd w:fill="FFFFFF" w:val="clear"/>
            <w:vAlign w:val="center"/>
          </w:tcPr>
          <w:p>
            <w:pPr>
              <w:pStyle w:val="TableContents"/>
              <w:bidi w:val="0"/>
              <w:spacing w:before="0" w:after="283"/>
              <w:jc w:val="right"/>
              <w:rPr/>
            </w:pPr>
            <w:r>
              <w:rPr/>
              <w:t> </w:t>
            </w:r>
          </w:p>
        </w:tc>
        <w:tc>
          <w:tcPr>
            <w:tcW w:w="266" w:type="dxa"/>
            <w:tcBorders/>
            <w:shd w:fill="FFFFFF" w:val="clear"/>
            <w:vAlign w:val="center"/>
          </w:tcPr>
          <w:p>
            <w:pPr>
              <w:pStyle w:val="TableContents"/>
              <w:bidi w:val="0"/>
              <w:spacing w:before="0" w:after="283"/>
              <w:jc w:val="right"/>
              <w:rPr/>
            </w:pPr>
            <w:r>
              <w:rPr/>
              <w:t> </w:t>
            </w:r>
          </w:p>
        </w:tc>
        <w:tc>
          <w:tcPr>
            <w:tcW w:w="234" w:type="dxa"/>
            <w:tcBorders/>
            <w:shd w:fill="FFFFFF" w:val="clear"/>
            <w:vAlign w:val="center"/>
          </w:tcPr>
          <w:p>
            <w:pPr>
              <w:pStyle w:val="TableContents"/>
              <w:bidi w:val="0"/>
              <w:spacing w:before="0" w:after="283"/>
              <w:jc w:val="right"/>
              <w:rPr/>
            </w:pPr>
            <w:r>
              <w:rPr/>
              <w:t> </w:t>
            </w:r>
          </w:p>
        </w:tc>
        <w:tc>
          <w:tcPr>
            <w:tcW w:w="1110" w:type="dxa"/>
            <w:gridSpan w:val="2"/>
            <w:tcBorders/>
            <w:shd w:fill="FFFFFF" w:val="clear"/>
            <w:vAlign w:val="center"/>
          </w:tcPr>
          <w:p>
            <w:pPr>
              <w:pStyle w:val="TableContents"/>
              <w:bidi w:val="0"/>
              <w:spacing w:before="0" w:after="283"/>
              <w:jc w:val="right"/>
              <w:rPr/>
            </w:pPr>
            <w:r>
              <w:rPr/>
              <w:t> </w:t>
            </w:r>
          </w:p>
        </w:tc>
        <w:tc>
          <w:tcPr>
            <w:tcW w:w="814" w:type="dxa"/>
            <w:tcBorders/>
            <w:shd w:fill="FFFFFF" w:val="clear"/>
            <w:vAlign w:val="center"/>
          </w:tcPr>
          <w:p>
            <w:pPr>
              <w:pStyle w:val="TableContents"/>
              <w:bidi w:val="0"/>
              <w:spacing w:before="0" w:after="283"/>
              <w:ind w:left="0" w:right="0" w:firstLine="400"/>
              <w:jc w:val="right"/>
              <w:rPr/>
            </w:pPr>
            <w:r>
              <w:rPr/>
              <w:t> </w:t>
            </w:r>
          </w:p>
        </w:tc>
      </w:tr>
      <w:tr>
        <w:trPr/>
        <w:tc>
          <w:tcPr>
            <w:tcW w:w="6767"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Repurchases of common stock</w:t>
            </w:r>
          </w:p>
        </w:tc>
        <w:tc>
          <w:tcPr>
            <w:tcW w:w="338"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w:t>
            </w:r>
          </w:p>
        </w:tc>
        <w:tc>
          <w:tcPr>
            <w:tcW w:w="2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34" w:type="dxa"/>
            <w:tcBorders/>
            <w:shd w:fill="CFF0FC" w:val="clear"/>
            <w:vAlign w:val="center"/>
          </w:tcPr>
          <w:p>
            <w:pPr>
              <w:pStyle w:val="TableContents"/>
              <w:bidi w:val="0"/>
              <w:spacing w:before="0" w:after="283"/>
              <w:jc w:val="right"/>
              <w:rPr/>
            </w:pPr>
            <w:r>
              <w:rPr/>
              <w:t> </w:t>
            </w:r>
          </w:p>
        </w:tc>
        <w:tc>
          <w:tcPr>
            <w:tcW w:w="338" w:type="dxa"/>
            <w:tcBorders/>
            <w:shd w:fill="CFF0FC" w:val="clear"/>
            <w:vAlign w:val="center"/>
          </w:tcPr>
          <w:p>
            <w:pPr>
              <w:pStyle w:val="TableContents"/>
              <w:bidi w:val="0"/>
              <w:spacing w:before="0" w:after="283"/>
              <w:jc w:val="left"/>
              <w:rPr/>
            </w:pPr>
            <w:r>
              <w:rPr/>
              <w:t> </w:t>
            </w:r>
          </w:p>
        </w:tc>
        <w:tc>
          <w:tcPr>
            <w:tcW w:w="77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814"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6767"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Payments relating to finance leases and other, net</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34" w:type="dxa"/>
            <w:tcBorders/>
            <w:shd w:fill="FFFFFF" w:val="clear"/>
            <w:vAlign w:val="center"/>
          </w:tcPr>
          <w:p>
            <w:pPr>
              <w:pStyle w:val="TableContents"/>
              <w:bidi w:val="0"/>
              <w:spacing w:before="0" w:after="283"/>
              <w:jc w:val="righ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b w:val="false"/>
                <w:color w:val="000000"/>
                <w:sz w:val="20"/>
              </w:rPr>
            </w:pPr>
            <w:r>
              <w:rPr>
                <w:rFonts w:ascii="Times New Roman" w:hAnsi="Times New Roman"/>
                <w:b w:val="false"/>
                <w:color w:val="000000"/>
                <w:sz w:val="20"/>
              </w:rPr>
              <w:t>)</w:t>
            </w:r>
          </w:p>
        </w:tc>
      </w:tr>
      <w:tr>
        <w:trPr/>
        <w:tc>
          <w:tcPr>
            <w:tcW w:w="6767"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Net cash provided by (used in) financing activities</w:t>
            </w:r>
          </w:p>
        </w:tc>
        <w:tc>
          <w:tcPr>
            <w:tcW w:w="338"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w:t>
            </w:r>
          </w:p>
        </w:tc>
        <w:tc>
          <w:tcPr>
            <w:tcW w:w="2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34" w:type="dxa"/>
            <w:tcBorders/>
            <w:shd w:fill="CFF0FC" w:val="clear"/>
            <w:vAlign w:val="center"/>
          </w:tcPr>
          <w:p>
            <w:pPr>
              <w:pStyle w:val="TableContents"/>
              <w:bidi w:val="0"/>
              <w:spacing w:before="0" w:after="283"/>
              <w:jc w:val="right"/>
              <w:rPr/>
            </w:pPr>
            <w:r>
              <w:rPr/>
              <w:t> </w:t>
            </w:r>
          </w:p>
        </w:tc>
        <w:tc>
          <w:tcPr>
            <w:tcW w:w="338" w:type="dxa"/>
            <w:tcBorders/>
            <w:shd w:fill="CFF0FC" w:val="clear"/>
            <w:vAlign w:val="center"/>
          </w:tcPr>
          <w:p>
            <w:pPr>
              <w:pStyle w:val="TableContents"/>
              <w:bidi w:val="0"/>
              <w:spacing w:before="0" w:after="283"/>
              <w:jc w:val="left"/>
              <w:rPr/>
            </w:pPr>
            <w:r>
              <w:rPr/>
              <w:t> </w:t>
            </w:r>
          </w:p>
        </w:tc>
        <w:tc>
          <w:tcPr>
            <w:tcW w:w="77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c>
          <w:tcPr>
            <w:tcW w:w="81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76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Effect of exchange rates on cash and cash equivalents</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righ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76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change in cash and cash equivalents</w:t>
            </w:r>
          </w:p>
        </w:tc>
        <w:tc>
          <w:tcPr>
            <w:tcW w:w="338"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w:t>
            </w:r>
          </w:p>
        </w:tc>
        <w:tc>
          <w:tcPr>
            <w:tcW w:w="2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34" w:type="dxa"/>
            <w:tcBorders/>
            <w:shd w:fill="CFF0FC" w:val="clear"/>
            <w:vAlign w:val="center"/>
          </w:tcPr>
          <w:p>
            <w:pPr>
              <w:pStyle w:val="TableContents"/>
              <w:bidi w:val="0"/>
              <w:spacing w:before="0" w:after="283"/>
              <w:jc w:val="right"/>
              <w:rPr/>
            </w:pPr>
            <w:r>
              <w:rPr/>
              <w:t> </w:t>
            </w:r>
          </w:p>
        </w:tc>
        <w:tc>
          <w:tcPr>
            <w:tcW w:w="338" w:type="dxa"/>
            <w:tcBorders/>
            <w:shd w:fill="CFF0FC" w:val="clear"/>
            <w:vAlign w:val="center"/>
          </w:tcPr>
          <w:p>
            <w:pPr>
              <w:pStyle w:val="TableContents"/>
              <w:bidi w:val="0"/>
              <w:spacing w:before="0" w:after="283"/>
              <w:jc w:val="left"/>
              <w:rPr/>
            </w:pPr>
            <w:r>
              <w:rPr/>
              <w:t> </w:t>
            </w:r>
          </w:p>
        </w:tc>
        <w:tc>
          <w:tcPr>
            <w:tcW w:w="77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w:t>
            </w:r>
          </w:p>
        </w:tc>
        <w:tc>
          <w:tcPr>
            <w:tcW w:w="81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76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and cash equivalents, beginning of period</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212</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righ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313</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6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and cash equivalents, end of period</w:t>
            </w:r>
          </w:p>
        </w:tc>
        <w:tc>
          <w:tcPr>
            <w:tcW w:w="3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194</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right"/>
              <w:rPr/>
            </w:pPr>
            <w:r>
              <w:rPr/>
              <w:t> </w:t>
            </w:r>
          </w:p>
        </w:tc>
        <w:tc>
          <w:tcPr>
            <w:tcW w:w="3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267</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b w:val="false"/>
          <w:color w:val="000000"/>
          <w:sz w:val="20"/>
        </w:rPr>
      </w:pPr>
      <w:r>
        <w:rPr>
          <w:rFonts w:ascii="Times New Roman" w:hAnsi="Times New Roman"/>
          <w:b w:val="false"/>
          <w:color w:val="000000"/>
          <w:sz w:val="20"/>
        </w:rPr>
        <w:t>See notes to unaudited consolidated financial statements.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6</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NOW INC.</w:t>
      </w:r>
    </w:p>
    <w:p>
      <w:pPr>
        <w:pStyle w:val="TextBody"/>
        <w:bidi w:val="0"/>
        <w:jc w:val="center"/>
        <w:rPr>
          <w:rFonts w:ascii="Times New Roman" w:hAnsi="Times New Roman"/>
          <w:b/>
          <w:color w:val="000000"/>
          <w:sz w:val="20"/>
        </w:rPr>
      </w:pPr>
      <w:bookmarkStart w:id="8" w:name="consolidated_statements_stockhold_unaud"/>
      <w:bookmarkEnd w:id="8"/>
      <w:r>
        <w:rPr>
          <w:rFonts w:ascii="Times New Roman" w:hAnsi="Times New Roman"/>
          <w:b/>
          <w:color w:val="000000"/>
          <w:sz w:val="20"/>
        </w:rPr>
        <w:t>CONSOLIDATED STATEMENTS OF STOCKHOLDERS’ EQUITY (UNAUDITED)</w:t>
      </w:r>
    </w:p>
    <w:p>
      <w:pPr>
        <w:pStyle w:val="TextBody"/>
        <w:bidi w:val="0"/>
        <w:jc w:val="center"/>
        <w:rPr>
          <w:rFonts w:ascii="Times New Roman" w:hAnsi="Times New Roman"/>
          <w:b/>
          <w:i/>
          <w:color w:val="000000"/>
          <w:sz w:val="20"/>
        </w:rPr>
      </w:pPr>
      <w:r>
        <w:rPr>
          <w:rFonts w:ascii="Times New Roman" w:hAnsi="Times New Roman"/>
          <w:b/>
          <w:i/>
          <w:color w:val="000000"/>
          <w:sz w:val="20"/>
        </w:rPr>
        <w:t>(In millions)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359"/>
        <w:gridCol w:w="290"/>
        <w:gridCol w:w="476"/>
        <w:gridCol w:w="146"/>
        <w:gridCol w:w="146"/>
        <w:gridCol w:w="235"/>
        <w:gridCol w:w="636"/>
        <w:gridCol w:w="166"/>
        <w:gridCol w:w="146"/>
        <w:gridCol w:w="211"/>
        <w:gridCol w:w="631"/>
        <w:gridCol w:w="166"/>
        <w:gridCol w:w="146"/>
        <w:gridCol w:w="370"/>
        <w:gridCol w:w="846"/>
        <w:gridCol w:w="166"/>
        <w:gridCol w:w="146"/>
        <w:gridCol w:w="275"/>
        <w:gridCol w:w="491"/>
        <w:gridCol w:w="166"/>
        <w:gridCol w:w="146"/>
        <w:gridCol w:w="454"/>
        <w:gridCol w:w="747"/>
        <w:gridCol w:w="146"/>
        <w:gridCol w:w="146"/>
        <w:gridCol w:w="346"/>
        <w:gridCol w:w="693"/>
        <w:gridCol w:w="313"/>
      </w:tblGrid>
      <w:tr>
        <w:trPr/>
        <w:tc>
          <w:tcPr>
            <w:tcW w:w="135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1359" w:type="dxa"/>
            <w:tcBorders/>
            <w:shd w:fill="FFFFFF" w:val="clear"/>
            <w:vAlign w:val="center"/>
          </w:tcPr>
          <w:p>
            <w:pPr>
              <w:pStyle w:val="TableContents"/>
              <w:bidi w:val="0"/>
              <w:spacing w:before="0" w:after="283"/>
              <w:jc w:val="left"/>
              <w:rPr/>
            </w:pPr>
            <w:r>
              <w:rPr/>
              <w:t> </w:t>
            </w:r>
          </w:p>
        </w:tc>
        <w:tc>
          <w:tcPr>
            <w:tcW w:w="5689"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Attributable to NOW Inc. Stockholders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39" w:type="dxa"/>
            <w:gridSpan w:val="2"/>
            <w:tcBorders/>
            <w:shd w:fill="FFFFFF" w:val="clear"/>
            <w:vAlign w:val="center"/>
          </w:tcPr>
          <w:p>
            <w:pPr>
              <w:pStyle w:val="TableContents"/>
              <w:bidi w:val="0"/>
              <w:spacing w:before="0" w:after="283"/>
              <w:jc w:val="center"/>
              <w:rPr/>
            </w:pPr>
            <w:r>
              <w:rPr/>
              <w:t> </w:t>
            </w:r>
          </w:p>
        </w:tc>
        <w:tc>
          <w:tcPr>
            <w:tcW w:w="313" w:type="dxa"/>
            <w:tcBorders/>
            <w:shd w:fill="FFFFFF" w:val="clear"/>
            <w:vAlign w:val="center"/>
          </w:tcPr>
          <w:p>
            <w:pPr>
              <w:pStyle w:val="TableContents"/>
              <w:bidi w:val="0"/>
              <w:spacing w:before="0" w:after="283"/>
              <w:jc w:val="center"/>
              <w:rPr/>
            </w:pPr>
            <w:r>
              <w:rPr/>
              <w:t> </w:t>
            </w:r>
          </w:p>
        </w:tc>
      </w:tr>
      <w:tr>
        <w:trPr/>
        <w:tc>
          <w:tcPr>
            <w:tcW w:w="1359"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Additional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shd w:fill="FFFFFF" w:val="cle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Retained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Accum. 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39" w:type="dxa"/>
            <w:gridSpan w:val="2"/>
            <w:tcBorders/>
            <w:shd w:fill="FFFFFF" w:val="cle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Total</w:t>
            </w:r>
          </w:p>
        </w:tc>
        <w:tc>
          <w:tcPr>
            <w:tcW w:w="313" w:type="dxa"/>
            <w:tcBorders/>
            <w:shd w:fill="FFFFFF" w:val="clear"/>
            <w:vAlign w:val="center"/>
          </w:tcPr>
          <w:p>
            <w:pPr>
              <w:pStyle w:val="TableContents"/>
              <w:bidi w:val="0"/>
              <w:spacing w:before="0" w:after="283"/>
              <w:jc w:val="center"/>
              <w:rPr/>
            </w:pPr>
            <w:r>
              <w:rPr/>
              <w:t> </w:t>
            </w:r>
          </w:p>
        </w:tc>
      </w:tr>
      <w:tr>
        <w:trPr/>
        <w:tc>
          <w:tcPr>
            <w:tcW w:w="1359"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Common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shd w:fill="FFFFFF" w:val="cle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Earnings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gridSpan w:val="2"/>
            <w:tcBorders/>
            <w:shd w:fill="FFFFFF" w:val="cle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Treasury</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1" w:type="dxa"/>
            <w:gridSpan w:val="2"/>
            <w:tcBorders/>
            <w:shd w:fill="FFFFFF" w:val="cle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Noncontrolling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9" w:type="dxa"/>
            <w:gridSpan w:val="2"/>
            <w:tcBorders/>
            <w:shd w:fill="FFFFFF" w:val="cle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Stockholders’</w:t>
            </w:r>
          </w:p>
        </w:tc>
        <w:tc>
          <w:tcPr>
            <w:tcW w:w="313" w:type="dxa"/>
            <w:tcBorders/>
            <w:shd w:fill="FFFFFF" w:val="clear"/>
            <w:vAlign w:val="center"/>
          </w:tcPr>
          <w:p>
            <w:pPr>
              <w:pStyle w:val="TableContents"/>
              <w:bidi w:val="0"/>
              <w:spacing w:before="0" w:after="283"/>
              <w:jc w:val="center"/>
              <w:rPr/>
            </w:pPr>
            <w:r>
              <w:rPr/>
              <w:t> </w:t>
            </w:r>
          </w:p>
        </w:tc>
      </w:tr>
      <w:tr>
        <w:trPr/>
        <w:tc>
          <w:tcPr>
            <w:tcW w:w="1359" w:type="dxa"/>
            <w:tcBorders/>
            <w:shd w:fill="FFFFFF" w:val="cle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Equity</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9"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December 31, 2021</w:t>
            </w:r>
          </w:p>
        </w:tc>
        <w:tc>
          <w:tcPr>
            <w:tcW w:w="29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7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4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9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712</w:t>
            </w:r>
          </w:p>
        </w:tc>
        <w:tc>
          <w:tcPr>
            <w:tcW w:w="313" w:type="dxa"/>
            <w:tcBorders/>
            <w:shd w:fill="CFF0FC" w:val="clear"/>
            <w:vAlign w:val="center"/>
          </w:tcPr>
          <w:p>
            <w:pPr>
              <w:pStyle w:val="TableContents"/>
              <w:bidi w:val="0"/>
              <w:spacing w:before="0" w:after="283"/>
              <w:ind w:left="0" w:right="0" w:firstLine="100"/>
              <w:jc w:val="left"/>
              <w:rPr/>
            </w:pPr>
            <w:r>
              <w:rPr/>
              <w:t> </w:t>
            </w:r>
          </w:p>
        </w:tc>
      </w:tr>
      <w:tr>
        <w:trPr/>
        <w:tc>
          <w:tcPr>
            <w:tcW w:w="1359"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Net income</w:t>
            </w:r>
          </w:p>
        </w:tc>
        <w:tc>
          <w:tcPr>
            <w:tcW w:w="290"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454"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w:t>
            </w:r>
          </w:p>
        </w:tc>
        <w:tc>
          <w:tcPr>
            <w:tcW w:w="313" w:type="dxa"/>
            <w:tcBorders/>
            <w:shd w:fill="FFFFFF" w:val="clear"/>
            <w:vAlign w:val="center"/>
          </w:tcPr>
          <w:p>
            <w:pPr>
              <w:pStyle w:val="TableContents"/>
              <w:bidi w:val="0"/>
              <w:spacing w:before="0" w:after="283"/>
              <w:ind w:left="0" w:right="0" w:firstLine="100"/>
              <w:jc w:val="left"/>
              <w:rPr/>
            </w:pPr>
            <w:r>
              <w:rPr/>
              <w:t> </w:t>
            </w:r>
          </w:p>
        </w:tc>
      </w:tr>
      <w:tr>
        <w:trPr/>
        <w:tc>
          <w:tcPr>
            <w:tcW w:w="1359"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Stock-based compensation</w:t>
            </w:r>
          </w:p>
        </w:tc>
        <w:tc>
          <w:tcPr>
            <w:tcW w:w="290" w:type="dxa"/>
            <w:tcBorders/>
            <w:shd w:fill="CFF0FC" w:val="clear"/>
            <w:vAlign w:val="center"/>
          </w:tcPr>
          <w:p>
            <w:pPr>
              <w:pStyle w:val="TableContents"/>
              <w:bidi w:val="0"/>
              <w:spacing w:before="0" w:after="283"/>
              <w:jc w:val="left"/>
              <w:rPr/>
            </w:pPr>
            <w:r>
              <w:rPr/>
              <w:t> </w:t>
            </w:r>
          </w:p>
        </w:tc>
        <w:tc>
          <w:tcPr>
            <w:tcW w:w="4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6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5" w:type="dxa"/>
            <w:tcBorders/>
            <w:shd w:fill="CFF0FC" w:val="clear"/>
            <w:vAlign w:val="center"/>
          </w:tcPr>
          <w:p>
            <w:pPr>
              <w:pStyle w:val="TableContents"/>
              <w:bidi w:val="0"/>
              <w:spacing w:before="0" w:after="283"/>
              <w:jc w:val="left"/>
              <w:rPr/>
            </w:pPr>
            <w:r>
              <w:rPr/>
              <w:t> </w:t>
            </w:r>
          </w:p>
        </w:tc>
        <w:tc>
          <w:tcPr>
            <w:tcW w:w="4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454" w:type="dxa"/>
            <w:tcBorders/>
            <w:shd w:fill="CFF0FC" w:val="clear"/>
            <w:vAlign w:val="center"/>
          </w:tcPr>
          <w:p>
            <w:pPr>
              <w:pStyle w:val="TableContents"/>
              <w:bidi w:val="0"/>
              <w:spacing w:before="0" w:after="283"/>
              <w:jc w:val="left"/>
              <w:rPr/>
            </w:pPr>
            <w:r>
              <w:rPr/>
              <w:t> </w:t>
            </w:r>
          </w:p>
        </w:tc>
        <w:tc>
          <w:tcPr>
            <w:tcW w:w="74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46" w:type="dxa"/>
            <w:tcBorders/>
            <w:shd w:fill="CFF0FC" w:val="clear"/>
            <w:vAlign w:val="center"/>
          </w:tcPr>
          <w:p>
            <w:pPr>
              <w:pStyle w:val="TableContents"/>
              <w:bidi w:val="0"/>
              <w:spacing w:before="0" w:after="283"/>
              <w:jc w:val="left"/>
              <w:rPr/>
            </w:pPr>
            <w:r>
              <w:rPr/>
              <w:t> </w:t>
            </w:r>
          </w:p>
        </w:tc>
        <w:tc>
          <w:tcPr>
            <w:tcW w:w="69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313" w:type="dxa"/>
            <w:tcBorders/>
            <w:shd w:fill="CFF0FC" w:val="clear"/>
            <w:vAlign w:val="center"/>
          </w:tcPr>
          <w:p>
            <w:pPr>
              <w:pStyle w:val="TableContents"/>
              <w:bidi w:val="0"/>
              <w:spacing w:before="0" w:after="283"/>
              <w:ind w:left="0" w:right="0" w:firstLine="100"/>
              <w:jc w:val="left"/>
              <w:rPr/>
            </w:pPr>
            <w:r>
              <w:rPr/>
              <w:t> </w:t>
            </w:r>
          </w:p>
        </w:tc>
      </w:tr>
      <w:tr>
        <w:trPr/>
        <w:tc>
          <w:tcPr>
            <w:tcW w:w="1359"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Other comprehensive income</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59"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March 31, 2022</w:t>
            </w:r>
          </w:p>
        </w:tc>
        <w:tc>
          <w:tcPr>
            <w:tcW w:w="29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7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4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9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746</w:t>
            </w:r>
          </w:p>
        </w:tc>
        <w:tc>
          <w:tcPr>
            <w:tcW w:w="313" w:type="dxa"/>
            <w:tcBorders/>
            <w:shd w:fill="CFF0FC" w:val="clear"/>
            <w:vAlign w:val="center"/>
          </w:tcPr>
          <w:p>
            <w:pPr>
              <w:pStyle w:val="TableContents"/>
              <w:bidi w:val="0"/>
              <w:spacing w:before="0" w:after="283"/>
              <w:ind w:left="0" w:right="0" w:firstLine="100"/>
              <w:jc w:val="left"/>
              <w:rPr/>
            </w:pPr>
            <w:r>
              <w:rPr/>
              <w:t> </w:t>
            </w:r>
          </w:p>
        </w:tc>
      </w:tr>
      <w:tr>
        <w:trPr/>
        <w:tc>
          <w:tcPr>
            <w:tcW w:w="1359"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Net income</w:t>
            </w:r>
          </w:p>
        </w:tc>
        <w:tc>
          <w:tcPr>
            <w:tcW w:w="290"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454"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w:t>
            </w:r>
          </w:p>
        </w:tc>
        <w:tc>
          <w:tcPr>
            <w:tcW w:w="313" w:type="dxa"/>
            <w:tcBorders/>
            <w:shd w:fill="FFFFFF" w:val="clear"/>
            <w:vAlign w:val="center"/>
          </w:tcPr>
          <w:p>
            <w:pPr>
              <w:pStyle w:val="TableContents"/>
              <w:bidi w:val="0"/>
              <w:spacing w:before="0" w:after="283"/>
              <w:ind w:left="0" w:right="0" w:firstLine="100"/>
              <w:jc w:val="left"/>
              <w:rPr/>
            </w:pPr>
            <w:r>
              <w:rPr/>
              <w:t> </w:t>
            </w:r>
          </w:p>
        </w:tc>
      </w:tr>
      <w:tr>
        <w:trPr/>
        <w:tc>
          <w:tcPr>
            <w:tcW w:w="1359"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Stock-based compensation</w:t>
            </w:r>
          </w:p>
        </w:tc>
        <w:tc>
          <w:tcPr>
            <w:tcW w:w="290" w:type="dxa"/>
            <w:tcBorders/>
            <w:shd w:fill="CFF0FC" w:val="clear"/>
            <w:vAlign w:val="center"/>
          </w:tcPr>
          <w:p>
            <w:pPr>
              <w:pStyle w:val="TableContents"/>
              <w:bidi w:val="0"/>
              <w:spacing w:before="0" w:after="283"/>
              <w:jc w:val="left"/>
              <w:rPr/>
            </w:pPr>
            <w:r>
              <w:rPr/>
              <w:t> </w:t>
            </w:r>
          </w:p>
        </w:tc>
        <w:tc>
          <w:tcPr>
            <w:tcW w:w="4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6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5" w:type="dxa"/>
            <w:tcBorders/>
            <w:shd w:fill="CFF0FC" w:val="clear"/>
            <w:vAlign w:val="center"/>
          </w:tcPr>
          <w:p>
            <w:pPr>
              <w:pStyle w:val="TableContents"/>
              <w:bidi w:val="0"/>
              <w:spacing w:before="0" w:after="283"/>
              <w:jc w:val="left"/>
              <w:rPr/>
            </w:pPr>
            <w:r>
              <w:rPr/>
              <w:t> </w:t>
            </w:r>
          </w:p>
        </w:tc>
        <w:tc>
          <w:tcPr>
            <w:tcW w:w="4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454" w:type="dxa"/>
            <w:tcBorders/>
            <w:shd w:fill="CFF0FC" w:val="clear"/>
            <w:vAlign w:val="center"/>
          </w:tcPr>
          <w:p>
            <w:pPr>
              <w:pStyle w:val="TableContents"/>
              <w:bidi w:val="0"/>
              <w:spacing w:before="0" w:after="283"/>
              <w:jc w:val="left"/>
              <w:rPr/>
            </w:pPr>
            <w:r>
              <w:rPr/>
              <w:t> </w:t>
            </w:r>
          </w:p>
        </w:tc>
        <w:tc>
          <w:tcPr>
            <w:tcW w:w="74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46" w:type="dxa"/>
            <w:tcBorders/>
            <w:shd w:fill="CFF0FC" w:val="clear"/>
            <w:vAlign w:val="center"/>
          </w:tcPr>
          <w:p>
            <w:pPr>
              <w:pStyle w:val="TableContents"/>
              <w:bidi w:val="0"/>
              <w:spacing w:before="0" w:after="283"/>
              <w:jc w:val="left"/>
              <w:rPr/>
            </w:pPr>
            <w:r>
              <w:rPr/>
              <w:t> </w:t>
            </w:r>
          </w:p>
        </w:tc>
        <w:tc>
          <w:tcPr>
            <w:tcW w:w="69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313" w:type="dxa"/>
            <w:tcBorders/>
            <w:shd w:fill="CFF0FC" w:val="clear"/>
            <w:vAlign w:val="center"/>
          </w:tcPr>
          <w:p>
            <w:pPr>
              <w:pStyle w:val="TableContents"/>
              <w:bidi w:val="0"/>
              <w:spacing w:before="0" w:after="283"/>
              <w:ind w:left="0" w:right="0" w:firstLine="100"/>
              <w:jc w:val="left"/>
              <w:rPr/>
            </w:pPr>
            <w:r>
              <w:rPr/>
              <w:t> </w:t>
            </w:r>
          </w:p>
        </w:tc>
      </w:tr>
      <w:tr>
        <w:trPr/>
        <w:tc>
          <w:tcPr>
            <w:tcW w:w="1359"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Exercise of stock options</w:t>
            </w:r>
          </w:p>
        </w:tc>
        <w:tc>
          <w:tcPr>
            <w:tcW w:w="290"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454"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313" w:type="dxa"/>
            <w:tcBorders/>
            <w:shd w:fill="FFFFFF" w:val="clear"/>
            <w:vAlign w:val="center"/>
          </w:tcPr>
          <w:p>
            <w:pPr>
              <w:pStyle w:val="TableContents"/>
              <w:bidi w:val="0"/>
              <w:spacing w:before="0" w:after="283"/>
              <w:ind w:left="0" w:right="0" w:firstLine="100"/>
              <w:jc w:val="left"/>
              <w:rPr/>
            </w:pPr>
            <w:r>
              <w:rPr/>
              <w:t> </w:t>
            </w:r>
          </w:p>
        </w:tc>
      </w:tr>
      <w:tr>
        <w:trPr/>
        <w:tc>
          <w:tcPr>
            <w:tcW w:w="1359"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Other comprehensive income</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4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59"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June 30, 2022</w:t>
            </w:r>
          </w:p>
        </w:tc>
        <w:tc>
          <w:tcPr>
            <w:tcW w:w="29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4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9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777</w:t>
            </w:r>
          </w:p>
        </w:tc>
        <w:tc>
          <w:tcPr>
            <w:tcW w:w="313" w:type="dxa"/>
            <w:tcBorders/>
            <w:shd w:fill="FFFFFF" w:val="clear"/>
            <w:vAlign w:val="center"/>
          </w:tcPr>
          <w:p>
            <w:pPr>
              <w:pStyle w:val="TableContents"/>
              <w:bidi w:val="0"/>
              <w:spacing w:before="0" w:after="283"/>
              <w:ind w:left="0" w:right="0" w:firstLine="100"/>
              <w:jc w:val="left"/>
              <w:rPr/>
            </w:pPr>
            <w:r>
              <w:rPr/>
              <w:t> </w:t>
            </w:r>
          </w:p>
        </w:tc>
      </w:tr>
      <w:tr>
        <w:trPr/>
        <w:tc>
          <w:tcPr>
            <w:tcW w:w="1359"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Net income</w:t>
            </w:r>
          </w:p>
        </w:tc>
        <w:tc>
          <w:tcPr>
            <w:tcW w:w="290" w:type="dxa"/>
            <w:tcBorders/>
            <w:shd w:fill="CFF0FC" w:val="clear"/>
            <w:vAlign w:val="center"/>
          </w:tcPr>
          <w:p>
            <w:pPr>
              <w:pStyle w:val="TableContents"/>
              <w:bidi w:val="0"/>
              <w:spacing w:before="0" w:after="283"/>
              <w:jc w:val="left"/>
              <w:rPr/>
            </w:pPr>
            <w:r>
              <w:rPr/>
              <w:t> </w:t>
            </w:r>
          </w:p>
        </w:tc>
        <w:tc>
          <w:tcPr>
            <w:tcW w:w="4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6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5" w:type="dxa"/>
            <w:tcBorders/>
            <w:shd w:fill="CFF0FC" w:val="clear"/>
            <w:vAlign w:val="center"/>
          </w:tcPr>
          <w:p>
            <w:pPr>
              <w:pStyle w:val="TableContents"/>
              <w:bidi w:val="0"/>
              <w:spacing w:before="0" w:after="283"/>
              <w:jc w:val="left"/>
              <w:rPr/>
            </w:pPr>
            <w:r>
              <w:rPr/>
              <w:t> </w:t>
            </w:r>
          </w:p>
        </w:tc>
        <w:tc>
          <w:tcPr>
            <w:tcW w:w="4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454" w:type="dxa"/>
            <w:tcBorders/>
            <w:shd w:fill="CFF0FC" w:val="clear"/>
            <w:vAlign w:val="center"/>
          </w:tcPr>
          <w:p>
            <w:pPr>
              <w:pStyle w:val="TableContents"/>
              <w:bidi w:val="0"/>
              <w:spacing w:before="0" w:after="283"/>
              <w:jc w:val="left"/>
              <w:rPr/>
            </w:pPr>
            <w:r>
              <w:rPr/>
              <w:t> </w:t>
            </w:r>
          </w:p>
        </w:tc>
        <w:tc>
          <w:tcPr>
            <w:tcW w:w="74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46" w:type="dxa"/>
            <w:tcBorders/>
            <w:shd w:fill="CFF0FC" w:val="clear"/>
            <w:vAlign w:val="center"/>
          </w:tcPr>
          <w:p>
            <w:pPr>
              <w:pStyle w:val="TableContents"/>
              <w:bidi w:val="0"/>
              <w:spacing w:before="0" w:after="283"/>
              <w:jc w:val="left"/>
              <w:rPr/>
            </w:pPr>
            <w:r>
              <w:rPr/>
              <w:t> </w:t>
            </w:r>
          </w:p>
        </w:tc>
        <w:tc>
          <w:tcPr>
            <w:tcW w:w="69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w:t>
            </w:r>
          </w:p>
        </w:tc>
        <w:tc>
          <w:tcPr>
            <w:tcW w:w="313" w:type="dxa"/>
            <w:tcBorders/>
            <w:shd w:fill="CFF0FC" w:val="clear"/>
            <w:vAlign w:val="center"/>
          </w:tcPr>
          <w:p>
            <w:pPr>
              <w:pStyle w:val="TableContents"/>
              <w:bidi w:val="0"/>
              <w:spacing w:before="0" w:after="283"/>
              <w:ind w:left="0" w:right="0" w:firstLine="100"/>
              <w:jc w:val="left"/>
              <w:rPr/>
            </w:pPr>
            <w:r>
              <w:rPr/>
              <w:t> </w:t>
            </w:r>
          </w:p>
        </w:tc>
      </w:tr>
      <w:tr>
        <w:trPr/>
        <w:tc>
          <w:tcPr>
            <w:tcW w:w="1359"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Common stock repurchased</w:t>
            </w:r>
          </w:p>
        </w:tc>
        <w:tc>
          <w:tcPr>
            <w:tcW w:w="290"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454"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313"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1359"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Common stock retired</w:t>
            </w:r>
          </w:p>
        </w:tc>
        <w:tc>
          <w:tcPr>
            <w:tcW w:w="290" w:type="dxa"/>
            <w:tcBorders/>
            <w:shd w:fill="CFF0FC" w:val="clear"/>
            <w:vAlign w:val="center"/>
          </w:tcPr>
          <w:p>
            <w:pPr>
              <w:pStyle w:val="TableContents"/>
              <w:bidi w:val="0"/>
              <w:spacing w:before="0" w:after="283"/>
              <w:jc w:val="left"/>
              <w:rPr/>
            </w:pPr>
            <w:r>
              <w:rPr/>
              <w:t> </w:t>
            </w:r>
          </w:p>
        </w:tc>
        <w:tc>
          <w:tcPr>
            <w:tcW w:w="4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6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5" w:type="dxa"/>
            <w:tcBorders/>
            <w:shd w:fill="CFF0FC" w:val="clear"/>
            <w:vAlign w:val="center"/>
          </w:tcPr>
          <w:p>
            <w:pPr>
              <w:pStyle w:val="TableContents"/>
              <w:bidi w:val="0"/>
              <w:spacing w:before="0" w:after="283"/>
              <w:jc w:val="left"/>
              <w:rPr/>
            </w:pPr>
            <w:r>
              <w:rPr/>
              <w:t> </w:t>
            </w:r>
          </w:p>
        </w:tc>
        <w:tc>
          <w:tcPr>
            <w:tcW w:w="4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454" w:type="dxa"/>
            <w:tcBorders/>
            <w:shd w:fill="CFF0FC" w:val="clear"/>
            <w:vAlign w:val="center"/>
          </w:tcPr>
          <w:p>
            <w:pPr>
              <w:pStyle w:val="TableContents"/>
              <w:bidi w:val="0"/>
              <w:spacing w:before="0" w:after="283"/>
              <w:jc w:val="left"/>
              <w:rPr/>
            </w:pPr>
            <w:r>
              <w:rPr/>
              <w:t> </w:t>
            </w:r>
          </w:p>
        </w:tc>
        <w:tc>
          <w:tcPr>
            <w:tcW w:w="74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46" w:type="dxa"/>
            <w:tcBorders/>
            <w:shd w:fill="CFF0FC" w:val="clear"/>
            <w:vAlign w:val="center"/>
          </w:tcPr>
          <w:p>
            <w:pPr>
              <w:pStyle w:val="TableContents"/>
              <w:bidi w:val="0"/>
              <w:spacing w:before="0" w:after="283"/>
              <w:jc w:val="left"/>
              <w:rPr/>
            </w:pPr>
            <w:r>
              <w:rPr/>
              <w:t> </w:t>
            </w:r>
          </w:p>
        </w:tc>
        <w:tc>
          <w:tcPr>
            <w:tcW w:w="693" w:type="dxa"/>
            <w:tcBorders/>
            <w:shd w:fill="CFF0FC" w:val="clear"/>
            <w:vAlign w:val="center"/>
          </w:tcPr>
          <w:p>
            <w:pPr>
              <w:pStyle w:val="TableContents"/>
              <w:bidi w:val="0"/>
              <w:spacing w:before="0" w:after="283"/>
              <w:jc w:val="right"/>
              <w:rPr>
                <w:color w:val="000000"/>
              </w:rPr>
            </w:pPr>
            <w:r>
              <w:rPr>
                <w:color w:val="000000"/>
              </w:rPr>
              <w:t>—</w:t>
            </w:r>
          </w:p>
        </w:tc>
        <w:tc>
          <w:tcPr>
            <w:tcW w:w="313" w:type="dxa"/>
            <w:tcBorders/>
            <w:shd w:fill="CFF0FC" w:val="clear"/>
            <w:vAlign w:val="center"/>
          </w:tcPr>
          <w:p>
            <w:pPr>
              <w:pStyle w:val="TableContents"/>
              <w:bidi w:val="0"/>
              <w:spacing w:before="0" w:after="283"/>
              <w:ind w:left="0" w:right="0" w:firstLine="100"/>
              <w:jc w:val="left"/>
              <w:rPr/>
            </w:pPr>
            <w:r>
              <w:rPr/>
              <w:t> </w:t>
            </w:r>
          </w:p>
        </w:tc>
      </w:tr>
      <w:tr>
        <w:trPr/>
        <w:tc>
          <w:tcPr>
            <w:tcW w:w="1359"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Stock-based compensation</w:t>
            </w:r>
          </w:p>
        </w:tc>
        <w:tc>
          <w:tcPr>
            <w:tcW w:w="290"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454"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313" w:type="dxa"/>
            <w:tcBorders/>
            <w:shd w:fill="FFFFFF" w:val="clear"/>
            <w:vAlign w:val="center"/>
          </w:tcPr>
          <w:p>
            <w:pPr>
              <w:pStyle w:val="TableContents"/>
              <w:bidi w:val="0"/>
              <w:spacing w:before="0" w:after="283"/>
              <w:ind w:left="0" w:right="0" w:firstLine="100"/>
              <w:jc w:val="left"/>
              <w:rPr/>
            </w:pPr>
            <w:r>
              <w:rPr/>
              <w:t> </w:t>
            </w:r>
          </w:p>
        </w:tc>
      </w:tr>
      <w:tr>
        <w:trPr/>
        <w:tc>
          <w:tcPr>
            <w:tcW w:w="1359"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Other comprehensive loss</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4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359"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September 30, 2022</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806</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59"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1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6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0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039" w:type="dxa"/>
            <w:gridSpan w:val="2"/>
            <w:tcBorders/>
            <w:shd w:fill="CFF0FC" w:val="clear"/>
            <w:vAlign w:val="center"/>
          </w:tcPr>
          <w:p>
            <w:pPr>
              <w:pStyle w:val="TableContents"/>
              <w:bidi w:val="0"/>
              <w:spacing w:before="0" w:after="283"/>
              <w:jc w:val="right"/>
              <w:rPr/>
            </w:pPr>
            <w:r>
              <w:rPr/>
              <w:t> </w:t>
            </w:r>
          </w:p>
        </w:tc>
        <w:tc>
          <w:tcPr>
            <w:tcW w:w="313" w:type="dxa"/>
            <w:tcBorders/>
            <w:shd w:fill="CFF0FC" w:val="clear"/>
            <w:vAlign w:val="center"/>
          </w:tcPr>
          <w:p>
            <w:pPr>
              <w:pStyle w:val="TableContents"/>
              <w:bidi w:val="0"/>
              <w:spacing w:before="0" w:after="283"/>
              <w:jc w:val="right"/>
              <w:rPr/>
            </w:pPr>
            <w:r>
              <w:rPr/>
              <w:t> </w:t>
            </w:r>
          </w:p>
        </w:tc>
      </w:tr>
      <w:tr>
        <w:trPr/>
        <w:tc>
          <w:tcPr>
            <w:tcW w:w="1359"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December 31, 2022</w:t>
            </w:r>
          </w:p>
        </w:tc>
        <w:tc>
          <w:tcPr>
            <w:tcW w:w="29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4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9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844</w:t>
            </w:r>
          </w:p>
        </w:tc>
        <w:tc>
          <w:tcPr>
            <w:tcW w:w="313" w:type="dxa"/>
            <w:tcBorders/>
            <w:shd w:fill="FFFFFF" w:val="clear"/>
            <w:vAlign w:val="center"/>
          </w:tcPr>
          <w:p>
            <w:pPr>
              <w:pStyle w:val="TableContents"/>
              <w:bidi w:val="0"/>
              <w:spacing w:before="0" w:after="283"/>
              <w:ind w:left="0" w:right="0" w:firstLine="100"/>
              <w:jc w:val="left"/>
              <w:rPr/>
            </w:pPr>
            <w:r>
              <w:rPr/>
              <w:t> </w:t>
            </w:r>
          </w:p>
        </w:tc>
      </w:tr>
      <w:tr>
        <w:trPr/>
        <w:tc>
          <w:tcPr>
            <w:tcW w:w="1359"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Net income</w:t>
            </w:r>
          </w:p>
        </w:tc>
        <w:tc>
          <w:tcPr>
            <w:tcW w:w="290" w:type="dxa"/>
            <w:tcBorders/>
            <w:shd w:fill="CFF0FC" w:val="clear"/>
            <w:vAlign w:val="center"/>
          </w:tcPr>
          <w:p>
            <w:pPr>
              <w:pStyle w:val="TableContents"/>
              <w:bidi w:val="0"/>
              <w:spacing w:before="0" w:after="283"/>
              <w:jc w:val="left"/>
              <w:rPr/>
            </w:pPr>
            <w:r>
              <w:rPr/>
              <w:t> </w:t>
            </w:r>
          </w:p>
        </w:tc>
        <w:tc>
          <w:tcPr>
            <w:tcW w:w="4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6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5" w:type="dxa"/>
            <w:tcBorders/>
            <w:shd w:fill="CFF0FC" w:val="clear"/>
            <w:vAlign w:val="center"/>
          </w:tcPr>
          <w:p>
            <w:pPr>
              <w:pStyle w:val="TableContents"/>
              <w:bidi w:val="0"/>
              <w:spacing w:before="0" w:after="283"/>
              <w:jc w:val="left"/>
              <w:rPr/>
            </w:pPr>
            <w:r>
              <w:rPr/>
              <w:t> </w:t>
            </w:r>
          </w:p>
        </w:tc>
        <w:tc>
          <w:tcPr>
            <w:tcW w:w="4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454" w:type="dxa"/>
            <w:tcBorders/>
            <w:shd w:fill="CFF0FC" w:val="clear"/>
            <w:vAlign w:val="center"/>
          </w:tcPr>
          <w:p>
            <w:pPr>
              <w:pStyle w:val="TableContents"/>
              <w:bidi w:val="0"/>
              <w:spacing w:before="0" w:after="283"/>
              <w:jc w:val="left"/>
              <w:rPr/>
            </w:pPr>
            <w:r>
              <w:rPr/>
              <w:t> </w:t>
            </w:r>
          </w:p>
        </w:tc>
        <w:tc>
          <w:tcPr>
            <w:tcW w:w="74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46" w:type="dxa"/>
            <w:tcBorders/>
            <w:shd w:fill="CFF0FC" w:val="clear"/>
            <w:vAlign w:val="center"/>
          </w:tcPr>
          <w:p>
            <w:pPr>
              <w:pStyle w:val="TableContents"/>
              <w:bidi w:val="0"/>
              <w:spacing w:before="0" w:after="283"/>
              <w:jc w:val="left"/>
              <w:rPr/>
            </w:pPr>
            <w:r>
              <w:rPr/>
              <w:t> </w:t>
            </w:r>
          </w:p>
        </w:tc>
        <w:tc>
          <w:tcPr>
            <w:tcW w:w="69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w:t>
            </w:r>
          </w:p>
        </w:tc>
        <w:tc>
          <w:tcPr>
            <w:tcW w:w="313" w:type="dxa"/>
            <w:tcBorders/>
            <w:shd w:fill="CFF0FC" w:val="clear"/>
            <w:vAlign w:val="center"/>
          </w:tcPr>
          <w:p>
            <w:pPr>
              <w:pStyle w:val="TableContents"/>
              <w:bidi w:val="0"/>
              <w:spacing w:before="0" w:after="283"/>
              <w:ind w:left="0" w:right="0" w:firstLine="100"/>
              <w:jc w:val="left"/>
              <w:rPr/>
            </w:pPr>
            <w:r>
              <w:rPr/>
              <w:t> </w:t>
            </w:r>
          </w:p>
        </w:tc>
      </w:tr>
      <w:tr>
        <w:trPr/>
        <w:tc>
          <w:tcPr>
            <w:tcW w:w="1359"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Common stock repurchased</w:t>
            </w:r>
          </w:p>
        </w:tc>
        <w:tc>
          <w:tcPr>
            <w:tcW w:w="290"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454"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w:t>
            </w:r>
          </w:p>
        </w:tc>
        <w:tc>
          <w:tcPr>
            <w:tcW w:w="313"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1359"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Common stock retired</w:t>
            </w:r>
          </w:p>
        </w:tc>
        <w:tc>
          <w:tcPr>
            <w:tcW w:w="290" w:type="dxa"/>
            <w:tcBorders/>
            <w:shd w:fill="CFF0FC" w:val="clear"/>
            <w:vAlign w:val="center"/>
          </w:tcPr>
          <w:p>
            <w:pPr>
              <w:pStyle w:val="TableContents"/>
              <w:bidi w:val="0"/>
              <w:spacing w:before="0" w:after="283"/>
              <w:jc w:val="left"/>
              <w:rPr/>
            </w:pPr>
            <w:r>
              <w:rPr/>
              <w:t> </w:t>
            </w:r>
          </w:p>
        </w:tc>
        <w:tc>
          <w:tcPr>
            <w:tcW w:w="4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6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5" w:type="dxa"/>
            <w:tcBorders/>
            <w:shd w:fill="CFF0FC" w:val="clear"/>
            <w:vAlign w:val="center"/>
          </w:tcPr>
          <w:p>
            <w:pPr>
              <w:pStyle w:val="TableContents"/>
              <w:bidi w:val="0"/>
              <w:spacing w:before="0" w:after="283"/>
              <w:jc w:val="left"/>
              <w:rPr/>
            </w:pPr>
            <w:r>
              <w:rPr/>
              <w:t> </w:t>
            </w:r>
          </w:p>
        </w:tc>
        <w:tc>
          <w:tcPr>
            <w:tcW w:w="4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454" w:type="dxa"/>
            <w:tcBorders/>
            <w:shd w:fill="CFF0FC" w:val="clear"/>
            <w:vAlign w:val="center"/>
          </w:tcPr>
          <w:p>
            <w:pPr>
              <w:pStyle w:val="TableContents"/>
              <w:bidi w:val="0"/>
              <w:spacing w:before="0" w:after="283"/>
              <w:jc w:val="left"/>
              <w:rPr/>
            </w:pPr>
            <w:r>
              <w:rPr/>
              <w:t> </w:t>
            </w:r>
          </w:p>
        </w:tc>
        <w:tc>
          <w:tcPr>
            <w:tcW w:w="74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46" w:type="dxa"/>
            <w:tcBorders/>
            <w:shd w:fill="CFF0FC" w:val="clear"/>
            <w:vAlign w:val="center"/>
          </w:tcPr>
          <w:p>
            <w:pPr>
              <w:pStyle w:val="TableContents"/>
              <w:bidi w:val="0"/>
              <w:spacing w:before="0" w:after="283"/>
              <w:jc w:val="left"/>
              <w:rPr/>
            </w:pPr>
            <w:r>
              <w:rPr/>
              <w:t> </w:t>
            </w:r>
          </w:p>
        </w:tc>
        <w:tc>
          <w:tcPr>
            <w:tcW w:w="693" w:type="dxa"/>
            <w:tcBorders/>
            <w:shd w:fill="CFF0FC" w:val="clear"/>
            <w:vAlign w:val="center"/>
          </w:tcPr>
          <w:p>
            <w:pPr>
              <w:pStyle w:val="TableContents"/>
              <w:bidi w:val="0"/>
              <w:spacing w:before="0" w:after="283"/>
              <w:jc w:val="right"/>
              <w:rPr>
                <w:color w:val="000000"/>
              </w:rPr>
            </w:pPr>
            <w:r>
              <w:rPr>
                <w:color w:val="000000"/>
              </w:rPr>
              <w:t>—</w:t>
            </w:r>
          </w:p>
        </w:tc>
        <w:tc>
          <w:tcPr>
            <w:tcW w:w="313" w:type="dxa"/>
            <w:tcBorders/>
            <w:shd w:fill="CFF0FC" w:val="clear"/>
            <w:vAlign w:val="center"/>
          </w:tcPr>
          <w:p>
            <w:pPr>
              <w:pStyle w:val="TableContents"/>
              <w:bidi w:val="0"/>
              <w:spacing w:before="0" w:after="283"/>
              <w:ind w:left="0" w:right="0" w:firstLine="100"/>
              <w:jc w:val="left"/>
              <w:rPr/>
            </w:pPr>
            <w:r>
              <w:rPr/>
              <w:t> </w:t>
            </w:r>
          </w:p>
        </w:tc>
      </w:tr>
      <w:tr>
        <w:trPr/>
        <w:tc>
          <w:tcPr>
            <w:tcW w:w="1359"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Stock-based compensation</w:t>
            </w:r>
          </w:p>
        </w:tc>
        <w:tc>
          <w:tcPr>
            <w:tcW w:w="290"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454"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313" w:type="dxa"/>
            <w:tcBorders/>
            <w:shd w:fill="FFFFFF" w:val="clear"/>
            <w:vAlign w:val="center"/>
          </w:tcPr>
          <w:p>
            <w:pPr>
              <w:pStyle w:val="TableContents"/>
              <w:bidi w:val="0"/>
              <w:spacing w:before="0" w:after="283"/>
              <w:ind w:left="0" w:right="0" w:firstLine="100"/>
              <w:jc w:val="left"/>
              <w:rPr/>
            </w:pPr>
            <w:r>
              <w:rPr/>
              <w:t> </w:t>
            </w:r>
          </w:p>
        </w:tc>
      </w:tr>
      <w:tr>
        <w:trPr/>
        <w:tc>
          <w:tcPr>
            <w:tcW w:w="1359"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Exercise of stock options</w:t>
            </w:r>
          </w:p>
        </w:tc>
        <w:tc>
          <w:tcPr>
            <w:tcW w:w="290" w:type="dxa"/>
            <w:tcBorders/>
            <w:shd w:fill="CFF0FC" w:val="clear"/>
            <w:vAlign w:val="center"/>
          </w:tcPr>
          <w:p>
            <w:pPr>
              <w:pStyle w:val="TableContents"/>
              <w:bidi w:val="0"/>
              <w:spacing w:before="0" w:after="283"/>
              <w:jc w:val="left"/>
              <w:rPr/>
            </w:pPr>
            <w:r>
              <w:rPr/>
              <w:t> </w:t>
            </w:r>
          </w:p>
        </w:tc>
        <w:tc>
          <w:tcPr>
            <w:tcW w:w="4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6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5" w:type="dxa"/>
            <w:tcBorders/>
            <w:shd w:fill="CFF0FC" w:val="clear"/>
            <w:vAlign w:val="center"/>
          </w:tcPr>
          <w:p>
            <w:pPr>
              <w:pStyle w:val="TableContents"/>
              <w:bidi w:val="0"/>
              <w:spacing w:before="0" w:after="283"/>
              <w:jc w:val="left"/>
              <w:rPr/>
            </w:pPr>
            <w:r>
              <w:rPr/>
              <w:t> </w:t>
            </w:r>
          </w:p>
        </w:tc>
        <w:tc>
          <w:tcPr>
            <w:tcW w:w="4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454" w:type="dxa"/>
            <w:tcBorders/>
            <w:shd w:fill="CFF0FC" w:val="clear"/>
            <w:vAlign w:val="center"/>
          </w:tcPr>
          <w:p>
            <w:pPr>
              <w:pStyle w:val="TableContents"/>
              <w:bidi w:val="0"/>
              <w:spacing w:before="0" w:after="283"/>
              <w:jc w:val="left"/>
              <w:rPr/>
            </w:pPr>
            <w:r>
              <w:rPr/>
              <w:t> </w:t>
            </w:r>
          </w:p>
        </w:tc>
        <w:tc>
          <w:tcPr>
            <w:tcW w:w="74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46" w:type="dxa"/>
            <w:tcBorders/>
            <w:shd w:fill="CFF0FC" w:val="clear"/>
            <w:vAlign w:val="center"/>
          </w:tcPr>
          <w:p>
            <w:pPr>
              <w:pStyle w:val="TableContents"/>
              <w:bidi w:val="0"/>
              <w:spacing w:before="0" w:after="283"/>
              <w:jc w:val="left"/>
              <w:rPr/>
            </w:pPr>
            <w:r>
              <w:rPr/>
              <w:t> </w:t>
            </w:r>
          </w:p>
        </w:tc>
        <w:tc>
          <w:tcPr>
            <w:tcW w:w="69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313" w:type="dxa"/>
            <w:tcBorders/>
            <w:shd w:fill="CFF0FC" w:val="clear"/>
            <w:vAlign w:val="center"/>
          </w:tcPr>
          <w:p>
            <w:pPr>
              <w:pStyle w:val="TableContents"/>
              <w:bidi w:val="0"/>
              <w:spacing w:before="0" w:after="283"/>
              <w:ind w:left="0" w:right="0" w:firstLine="100"/>
              <w:jc w:val="left"/>
              <w:rPr/>
            </w:pPr>
            <w:r>
              <w:rPr/>
              <w:t> </w:t>
            </w:r>
          </w:p>
        </w:tc>
      </w:tr>
      <w:tr>
        <w:trPr/>
        <w:tc>
          <w:tcPr>
            <w:tcW w:w="1359"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Shares withheld for taxes</w:t>
            </w:r>
          </w:p>
        </w:tc>
        <w:tc>
          <w:tcPr>
            <w:tcW w:w="290"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454"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313"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1359"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Other comprehensive income</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4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59"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March 31, 2023</w:t>
            </w:r>
          </w:p>
        </w:tc>
        <w:tc>
          <w:tcPr>
            <w:tcW w:w="29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9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5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4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9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844</w:t>
            </w:r>
          </w:p>
        </w:tc>
        <w:tc>
          <w:tcPr>
            <w:tcW w:w="313" w:type="dxa"/>
            <w:tcBorders/>
            <w:shd w:fill="FFFFFF" w:val="clear"/>
            <w:vAlign w:val="center"/>
          </w:tcPr>
          <w:p>
            <w:pPr>
              <w:pStyle w:val="TableContents"/>
              <w:bidi w:val="0"/>
              <w:spacing w:before="0" w:after="283"/>
              <w:ind w:left="0" w:right="0" w:firstLine="100"/>
              <w:jc w:val="left"/>
              <w:rPr/>
            </w:pPr>
            <w:r>
              <w:rPr/>
              <w:t> </w:t>
            </w:r>
          </w:p>
        </w:tc>
      </w:tr>
      <w:tr>
        <w:trPr/>
        <w:tc>
          <w:tcPr>
            <w:tcW w:w="1359"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Net income</w:t>
            </w:r>
          </w:p>
        </w:tc>
        <w:tc>
          <w:tcPr>
            <w:tcW w:w="290" w:type="dxa"/>
            <w:tcBorders/>
            <w:shd w:fill="CFF0FC" w:val="clear"/>
            <w:vAlign w:val="center"/>
          </w:tcPr>
          <w:p>
            <w:pPr>
              <w:pStyle w:val="TableContents"/>
              <w:bidi w:val="0"/>
              <w:spacing w:before="0" w:after="283"/>
              <w:jc w:val="left"/>
              <w:rPr/>
            </w:pPr>
            <w:r>
              <w:rPr/>
              <w:t> </w:t>
            </w:r>
          </w:p>
        </w:tc>
        <w:tc>
          <w:tcPr>
            <w:tcW w:w="4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6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5" w:type="dxa"/>
            <w:tcBorders/>
            <w:shd w:fill="CFF0FC" w:val="clear"/>
            <w:vAlign w:val="center"/>
          </w:tcPr>
          <w:p>
            <w:pPr>
              <w:pStyle w:val="TableContents"/>
              <w:bidi w:val="0"/>
              <w:spacing w:before="0" w:after="283"/>
              <w:jc w:val="left"/>
              <w:rPr/>
            </w:pPr>
            <w:r>
              <w:rPr/>
              <w:t> </w:t>
            </w:r>
          </w:p>
        </w:tc>
        <w:tc>
          <w:tcPr>
            <w:tcW w:w="4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454" w:type="dxa"/>
            <w:tcBorders/>
            <w:shd w:fill="CFF0FC" w:val="clear"/>
            <w:vAlign w:val="center"/>
          </w:tcPr>
          <w:p>
            <w:pPr>
              <w:pStyle w:val="TableContents"/>
              <w:bidi w:val="0"/>
              <w:spacing w:before="0" w:after="283"/>
              <w:jc w:val="left"/>
              <w:rPr/>
            </w:pPr>
            <w:r>
              <w:rPr/>
              <w:t> </w:t>
            </w:r>
          </w:p>
        </w:tc>
        <w:tc>
          <w:tcPr>
            <w:tcW w:w="74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46" w:type="dxa"/>
            <w:tcBorders/>
            <w:shd w:fill="CFF0FC" w:val="clear"/>
            <w:vAlign w:val="center"/>
          </w:tcPr>
          <w:p>
            <w:pPr>
              <w:pStyle w:val="TableContents"/>
              <w:bidi w:val="0"/>
              <w:spacing w:before="0" w:after="283"/>
              <w:jc w:val="left"/>
              <w:rPr/>
            </w:pPr>
            <w:r>
              <w:rPr/>
              <w:t> </w:t>
            </w:r>
          </w:p>
        </w:tc>
        <w:tc>
          <w:tcPr>
            <w:tcW w:w="69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w:t>
            </w:r>
          </w:p>
        </w:tc>
        <w:tc>
          <w:tcPr>
            <w:tcW w:w="313" w:type="dxa"/>
            <w:tcBorders/>
            <w:shd w:fill="CFF0FC" w:val="clear"/>
            <w:vAlign w:val="center"/>
          </w:tcPr>
          <w:p>
            <w:pPr>
              <w:pStyle w:val="TableContents"/>
              <w:bidi w:val="0"/>
              <w:spacing w:before="0" w:after="283"/>
              <w:ind w:left="0" w:right="0" w:firstLine="100"/>
              <w:jc w:val="left"/>
              <w:rPr/>
            </w:pPr>
            <w:r>
              <w:rPr/>
              <w:t> </w:t>
            </w:r>
          </w:p>
        </w:tc>
      </w:tr>
      <w:tr>
        <w:trPr/>
        <w:tc>
          <w:tcPr>
            <w:tcW w:w="1359"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Common stock repurchased</w:t>
            </w:r>
          </w:p>
        </w:tc>
        <w:tc>
          <w:tcPr>
            <w:tcW w:w="290"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7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454"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w:t>
            </w:r>
          </w:p>
        </w:tc>
        <w:tc>
          <w:tcPr>
            <w:tcW w:w="313"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1359"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Common stock retired</w:t>
            </w:r>
          </w:p>
        </w:tc>
        <w:tc>
          <w:tcPr>
            <w:tcW w:w="290" w:type="dxa"/>
            <w:tcBorders/>
            <w:shd w:fill="CFF0FC" w:val="clear"/>
            <w:vAlign w:val="center"/>
          </w:tcPr>
          <w:p>
            <w:pPr>
              <w:pStyle w:val="TableContents"/>
              <w:bidi w:val="0"/>
              <w:spacing w:before="0" w:after="283"/>
              <w:jc w:val="left"/>
              <w:rPr/>
            </w:pPr>
            <w:r>
              <w:rPr/>
              <w:t> </w:t>
            </w:r>
          </w:p>
        </w:tc>
        <w:tc>
          <w:tcPr>
            <w:tcW w:w="4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6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5" w:type="dxa"/>
            <w:tcBorders/>
            <w:shd w:fill="CFF0FC" w:val="clear"/>
            <w:vAlign w:val="center"/>
          </w:tcPr>
          <w:p>
            <w:pPr>
              <w:pStyle w:val="TableContents"/>
              <w:bidi w:val="0"/>
              <w:spacing w:before="0" w:after="283"/>
              <w:jc w:val="left"/>
              <w:rPr/>
            </w:pPr>
            <w:r>
              <w:rPr/>
              <w:t> </w:t>
            </w:r>
          </w:p>
        </w:tc>
        <w:tc>
          <w:tcPr>
            <w:tcW w:w="4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454" w:type="dxa"/>
            <w:tcBorders/>
            <w:shd w:fill="CFF0FC" w:val="clear"/>
            <w:vAlign w:val="center"/>
          </w:tcPr>
          <w:p>
            <w:pPr>
              <w:pStyle w:val="TableContents"/>
              <w:bidi w:val="0"/>
              <w:spacing w:before="0" w:after="283"/>
              <w:jc w:val="left"/>
              <w:rPr/>
            </w:pPr>
            <w:r>
              <w:rPr/>
              <w:t> </w:t>
            </w:r>
          </w:p>
        </w:tc>
        <w:tc>
          <w:tcPr>
            <w:tcW w:w="74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46" w:type="dxa"/>
            <w:tcBorders/>
            <w:shd w:fill="CFF0FC" w:val="clear"/>
            <w:vAlign w:val="center"/>
          </w:tcPr>
          <w:p>
            <w:pPr>
              <w:pStyle w:val="TableContents"/>
              <w:bidi w:val="0"/>
              <w:spacing w:before="0" w:after="283"/>
              <w:jc w:val="left"/>
              <w:rPr/>
            </w:pPr>
            <w:r>
              <w:rPr/>
              <w:t> </w:t>
            </w:r>
          </w:p>
        </w:tc>
        <w:tc>
          <w:tcPr>
            <w:tcW w:w="693" w:type="dxa"/>
            <w:tcBorders/>
            <w:shd w:fill="CFF0FC" w:val="clear"/>
            <w:vAlign w:val="center"/>
          </w:tcPr>
          <w:p>
            <w:pPr>
              <w:pStyle w:val="TableContents"/>
              <w:bidi w:val="0"/>
              <w:spacing w:before="0" w:after="283"/>
              <w:jc w:val="right"/>
              <w:rPr>
                <w:color w:val="000000"/>
              </w:rPr>
            </w:pPr>
            <w:r>
              <w:rPr>
                <w:color w:val="000000"/>
              </w:rPr>
              <w:t>—</w:t>
            </w:r>
          </w:p>
        </w:tc>
        <w:tc>
          <w:tcPr>
            <w:tcW w:w="313" w:type="dxa"/>
            <w:tcBorders/>
            <w:shd w:fill="CFF0FC" w:val="clear"/>
            <w:vAlign w:val="center"/>
          </w:tcPr>
          <w:p>
            <w:pPr>
              <w:pStyle w:val="TableContents"/>
              <w:bidi w:val="0"/>
              <w:spacing w:before="0" w:after="283"/>
              <w:ind w:left="0" w:right="0" w:firstLine="100"/>
              <w:jc w:val="left"/>
              <w:rPr/>
            </w:pPr>
            <w:r>
              <w:rPr/>
              <w:t> </w:t>
            </w:r>
          </w:p>
        </w:tc>
      </w:tr>
      <w:tr>
        <w:trPr/>
        <w:tc>
          <w:tcPr>
            <w:tcW w:w="1359"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Stock-based compensation</w:t>
            </w:r>
          </w:p>
        </w:tc>
        <w:tc>
          <w:tcPr>
            <w:tcW w:w="290"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454"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313" w:type="dxa"/>
            <w:tcBorders/>
            <w:shd w:fill="FFFFFF" w:val="clear"/>
            <w:vAlign w:val="center"/>
          </w:tcPr>
          <w:p>
            <w:pPr>
              <w:pStyle w:val="TableContents"/>
              <w:bidi w:val="0"/>
              <w:spacing w:before="0" w:after="283"/>
              <w:ind w:left="0" w:right="0" w:firstLine="100"/>
              <w:jc w:val="left"/>
              <w:rPr/>
            </w:pPr>
            <w:r>
              <w:rPr/>
              <w:t> </w:t>
            </w:r>
          </w:p>
        </w:tc>
      </w:tr>
      <w:tr>
        <w:trPr/>
        <w:tc>
          <w:tcPr>
            <w:tcW w:w="1359"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Other comprehensive income</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4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59"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June 30, 2023</w:t>
            </w:r>
          </w:p>
        </w:tc>
        <w:tc>
          <w:tcPr>
            <w:tcW w:w="29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4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9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877</w:t>
            </w:r>
          </w:p>
        </w:tc>
        <w:tc>
          <w:tcPr>
            <w:tcW w:w="313" w:type="dxa"/>
            <w:tcBorders/>
            <w:shd w:fill="FFFFFF" w:val="clear"/>
            <w:vAlign w:val="center"/>
          </w:tcPr>
          <w:p>
            <w:pPr>
              <w:pStyle w:val="TableContents"/>
              <w:bidi w:val="0"/>
              <w:spacing w:before="0" w:after="283"/>
              <w:ind w:left="0" w:right="0" w:firstLine="100"/>
              <w:jc w:val="left"/>
              <w:rPr/>
            </w:pPr>
            <w:r>
              <w:rPr/>
              <w:t> </w:t>
            </w:r>
          </w:p>
        </w:tc>
      </w:tr>
      <w:tr>
        <w:trPr/>
        <w:tc>
          <w:tcPr>
            <w:tcW w:w="1359"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Net income</w:t>
            </w:r>
          </w:p>
        </w:tc>
        <w:tc>
          <w:tcPr>
            <w:tcW w:w="290" w:type="dxa"/>
            <w:tcBorders/>
            <w:shd w:fill="CFF0FC" w:val="clear"/>
            <w:vAlign w:val="center"/>
          </w:tcPr>
          <w:p>
            <w:pPr>
              <w:pStyle w:val="TableContents"/>
              <w:bidi w:val="0"/>
              <w:spacing w:before="0" w:after="283"/>
              <w:jc w:val="left"/>
              <w:rPr/>
            </w:pPr>
            <w:r>
              <w:rPr/>
              <w:t> </w:t>
            </w:r>
          </w:p>
        </w:tc>
        <w:tc>
          <w:tcPr>
            <w:tcW w:w="4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6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5" w:type="dxa"/>
            <w:tcBorders/>
            <w:shd w:fill="CFF0FC" w:val="clear"/>
            <w:vAlign w:val="center"/>
          </w:tcPr>
          <w:p>
            <w:pPr>
              <w:pStyle w:val="TableContents"/>
              <w:bidi w:val="0"/>
              <w:spacing w:before="0" w:after="283"/>
              <w:jc w:val="left"/>
              <w:rPr/>
            </w:pPr>
            <w:r>
              <w:rPr/>
              <w:t> </w:t>
            </w:r>
          </w:p>
        </w:tc>
        <w:tc>
          <w:tcPr>
            <w:tcW w:w="4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454" w:type="dxa"/>
            <w:tcBorders/>
            <w:shd w:fill="CFF0FC" w:val="clear"/>
            <w:vAlign w:val="center"/>
          </w:tcPr>
          <w:p>
            <w:pPr>
              <w:pStyle w:val="TableContents"/>
              <w:bidi w:val="0"/>
              <w:spacing w:before="0" w:after="283"/>
              <w:jc w:val="left"/>
              <w:rPr/>
            </w:pPr>
            <w:r>
              <w:rPr/>
              <w:t> </w:t>
            </w:r>
          </w:p>
        </w:tc>
        <w:tc>
          <w:tcPr>
            <w:tcW w:w="74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46" w:type="dxa"/>
            <w:tcBorders/>
            <w:shd w:fill="CFF0FC" w:val="clear"/>
            <w:vAlign w:val="center"/>
          </w:tcPr>
          <w:p>
            <w:pPr>
              <w:pStyle w:val="TableContents"/>
              <w:bidi w:val="0"/>
              <w:spacing w:before="0" w:after="283"/>
              <w:jc w:val="left"/>
              <w:rPr/>
            </w:pPr>
            <w:r>
              <w:rPr/>
              <w:t> </w:t>
            </w:r>
          </w:p>
        </w:tc>
        <w:tc>
          <w:tcPr>
            <w:tcW w:w="69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w:t>
            </w:r>
          </w:p>
        </w:tc>
        <w:tc>
          <w:tcPr>
            <w:tcW w:w="313" w:type="dxa"/>
            <w:tcBorders/>
            <w:shd w:fill="CFF0FC" w:val="clear"/>
            <w:vAlign w:val="center"/>
          </w:tcPr>
          <w:p>
            <w:pPr>
              <w:pStyle w:val="TableContents"/>
              <w:bidi w:val="0"/>
              <w:spacing w:before="0" w:after="283"/>
              <w:ind w:left="0" w:right="0" w:firstLine="100"/>
              <w:jc w:val="left"/>
              <w:rPr/>
            </w:pPr>
            <w:r>
              <w:rPr/>
              <w:t> </w:t>
            </w:r>
          </w:p>
        </w:tc>
      </w:tr>
      <w:tr>
        <w:trPr/>
        <w:tc>
          <w:tcPr>
            <w:tcW w:w="1359"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Common stock repurchased</w:t>
            </w:r>
          </w:p>
        </w:tc>
        <w:tc>
          <w:tcPr>
            <w:tcW w:w="290"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454"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c>
          <w:tcPr>
            <w:tcW w:w="313"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1359"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Common stock retired</w:t>
            </w:r>
          </w:p>
        </w:tc>
        <w:tc>
          <w:tcPr>
            <w:tcW w:w="290" w:type="dxa"/>
            <w:tcBorders/>
            <w:shd w:fill="CFF0FC" w:val="clear"/>
            <w:vAlign w:val="center"/>
          </w:tcPr>
          <w:p>
            <w:pPr>
              <w:pStyle w:val="TableContents"/>
              <w:bidi w:val="0"/>
              <w:spacing w:before="0" w:after="283"/>
              <w:jc w:val="left"/>
              <w:rPr/>
            </w:pPr>
            <w:r>
              <w:rPr/>
              <w:t> </w:t>
            </w:r>
          </w:p>
        </w:tc>
        <w:tc>
          <w:tcPr>
            <w:tcW w:w="4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6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5" w:type="dxa"/>
            <w:tcBorders/>
            <w:shd w:fill="CFF0FC" w:val="clear"/>
            <w:vAlign w:val="center"/>
          </w:tcPr>
          <w:p>
            <w:pPr>
              <w:pStyle w:val="TableContents"/>
              <w:bidi w:val="0"/>
              <w:spacing w:before="0" w:after="283"/>
              <w:jc w:val="left"/>
              <w:rPr/>
            </w:pPr>
            <w:r>
              <w:rPr/>
              <w:t> </w:t>
            </w:r>
          </w:p>
        </w:tc>
        <w:tc>
          <w:tcPr>
            <w:tcW w:w="4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454" w:type="dxa"/>
            <w:tcBorders/>
            <w:shd w:fill="CFF0FC" w:val="clear"/>
            <w:vAlign w:val="center"/>
          </w:tcPr>
          <w:p>
            <w:pPr>
              <w:pStyle w:val="TableContents"/>
              <w:bidi w:val="0"/>
              <w:spacing w:before="0" w:after="283"/>
              <w:jc w:val="left"/>
              <w:rPr/>
            </w:pPr>
            <w:r>
              <w:rPr/>
              <w:t> </w:t>
            </w:r>
          </w:p>
        </w:tc>
        <w:tc>
          <w:tcPr>
            <w:tcW w:w="74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46" w:type="dxa"/>
            <w:tcBorders/>
            <w:shd w:fill="CFF0FC" w:val="clear"/>
            <w:vAlign w:val="center"/>
          </w:tcPr>
          <w:p>
            <w:pPr>
              <w:pStyle w:val="TableContents"/>
              <w:bidi w:val="0"/>
              <w:spacing w:before="0" w:after="283"/>
              <w:jc w:val="left"/>
              <w:rPr/>
            </w:pPr>
            <w:r>
              <w:rPr/>
              <w:t> </w:t>
            </w:r>
          </w:p>
        </w:tc>
        <w:tc>
          <w:tcPr>
            <w:tcW w:w="693" w:type="dxa"/>
            <w:tcBorders/>
            <w:shd w:fill="CFF0FC" w:val="clear"/>
            <w:vAlign w:val="center"/>
          </w:tcPr>
          <w:p>
            <w:pPr>
              <w:pStyle w:val="TableContents"/>
              <w:bidi w:val="0"/>
              <w:spacing w:before="0" w:after="283"/>
              <w:jc w:val="right"/>
              <w:rPr>
                <w:color w:val="000000"/>
              </w:rPr>
            </w:pPr>
            <w:r>
              <w:rPr>
                <w:color w:val="000000"/>
              </w:rPr>
              <w:t>—</w:t>
            </w:r>
          </w:p>
        </w:tc>
        <w:tc>
          <w:tcPr>
            <w:tcW w:w="313" w:type="dxa"/>
            <w:tcBorders/>
            <w:shd w:fill="CFF0FC" w:val="clear"/>
            <w:vAlign w:val="center"/>
          </w:tcPr>
          <w:p>
            <w:pPr>
              <w:pStyle w:val="TableContents"/>
              <w:bidi w:val="0"/>
              <w:spacing w:before="0" w:after="283"/>
              <w:ind w:left="0" w:right="0" w:firstLine="100"/>
              <w:jc w:val="left"/>
              <w:rPr/>
            </w:pPr>
            <w:r>
              <w:rPr/>
              <w:t> </w:t>
            </w:r>
          </w:p>
        </w:tc>
      </w:tr>
      <w:tr>
        <w:trPr/>
        <w:tc>
          <w:tcPr>
            <w:tcW w:w="1359"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Stock-based compensation</w:t>
            </w:r>
          </w:p>
        </w:tc>
        <w:tc>
          <w:tcPr>
            <w:tcW w:w="290"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454"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313" w:type="dxa"/>
            <w:tcBorders/>
            <w:shd w:fill="FFFFFF" w:val="clear"/>
            <w:vAlign w:val="center"/>
          </w:tcPr>
          <w:p>
            <w:pPr>
              <w:pStyle w:val="TableContents"/>
              <w:bidi w:val="0"/>
              <w:spacing w:before="0" w:after="283"/>
              <w:ind w:left="0" w:right="0" w:firstLine="100"/>
              <w:jc w:val="left"/>
              <w:rPr/>
            </w:pPr>
            <w:r>
              <w:rPr/>
              <w:t> </w:t>
            </w:r>
          </w:p>
        </w:tc>
      </w:tr>
      <w:tr>
        <w:trPr/>
        <w:tc>
          <w:tcPr>
            <w:tcW w:w="1359"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Other comprehensive income</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4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359"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September 30, 2023</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907</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See notes to unaudited consolidated financial statements.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7</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NOW INC.</w:t>
      </w:r>
    </w:p>
    <w:p>
      <w:pPr>
        <w:pStyle w:val="TextBody"/>
        <w:bidi w:val="0"/>
        <w:jc w:val="center"/>
        <w:rPr>
          <w:rFonts w:ascii="Times New Roman" w:hAnsi="Times New Roman"/>
          <w:b/>
          <w:color w:val="000000"/>
          <w:sz w:val="20"/>
        </w:rPr>
      </w:pPr>
      <w:bookmarkStart w:id="9" w:name="notes_to_unaudited_consolidated_financia"/>
      <w:bookmarkEnd w:id="9"/>
      <w:r>
        <w:rPr>
          <w:rFonts w:ascii="Times New Roman" w:hAnsi="Times New Roman"/>
          <w:b/>
          <w:color w:val="000000"/>
          <w:sz w:val="20"/>
        </w:rPr>
        <w:t>Notes to Unaudited Consolidated Financial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 Organization and Basis of Presentation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Nature of Operations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NOW Inc. (“NOW” or the “Company”) is a holding company headquartered in Houston, Texas that was incorporated in Delaware on November 22, 2013. NOW operates primarily under the DNOW brand. NOW is a global distributor of energy products as well as products for industrial applications through its locations in the United States (“U.S.”), Canada and internationally which are geographically positioned to serve the energy and industrial markets in approximately 80</w:t>
      </w:r>
      <w:r>
        <w:rPr>
          <w:rFonts w:ascii="Times New Roman" w:hAnsi="Times New Roman"/>
          <w:color w:val="000000"/>
          <w:sz w:val="20"/>
        </w:rPr>
        <w:t xml:space="preserve"> </w:t>
      </w:r>
      <w:r>
        <w:rPr>
          <w:rFonts w:ascii="Times New Roman" w:hAnsi="Times New Roman"/>
          <w:b w:val="false"/>
          <w:color w:val="000000"/>
          <w:sz w:val="20"/>
        </w:rPr>
        <w:t>countries. Additionally, through the Company’s growing DigitalNOW</w:t>
      </w:r>
      <w:r>
        <w:rPr>
          <w:rFonts w:ascii="Times New Roman" w:hAnsi="Times New Roman"/>
          <w:b w:val="false"/>
          <w:color w:val="000000"/>
          <w:sz w:val="13"/>
        </w:rPr>
        <w:t>®</w:t>
      </w:r>
      <w:r>
        <w:rPr>
          <w:rFonts w:ascii="Times New Roman" w:hAnsi="Times New Roman"/>
          <w:color w:val="000000"/>
          <w:sz w:val="20"/>
        </w:rPr>
        <w:t xml:space="preserve"> </w:t>
      </w:r>
      <w:r>
        <w:rPr>
          <w:rFonts w:ascii="Times New Roman" w:hAnsi="Times New Roman"/>
          <w:b w:val="false"/>
          <w:color w:val="000000"/>
          <w:sz w:val="20"/>
        </w:rPr>
        <w:t>platform, customers can leverage world-class technology across ecommerce, data management and supply chain optimization applications to solve a wide array of complex operational and product sourcing challenges to assist in maximizing their return on assets. The Company’s energy product offering is consumed throughout all sectors of the energy industry – from upstream drilling and completion, exploration and production, midstream infrastructure development to downstream petroleum refining and petrochemicals – as well as in other industries, such as chemical processing, mining, utilities and renewables. The industrial distribution end markets include engineering and construction firms that perform capital and maintenance projects for their end user clients. NOW also provides supply chain and materials management solutions to the same markets where the Company sells products. NOW’s supplier network consists of thousands of vendors in approximately 40</w:t>
      </w:r>
      <w:r>
        <w:rPr>
          <w:rFonts w:ascii="Times New Roman" w:hAnsi="Times New Roman"/>
          <w:color w:val="000000"/>
          <w:sz w:val="20"/>
        </w:rPr>
        <w:t xml:space="preserve"> </w:t>
      </w:r>
      <w:r>
        <w:rPr>
          <w:rFonts w:ascii="Times New Roman" w:hAnsi="Times New Roman"/>
          <w:b w:val="false"/>
          <w:color w:val="000000"/>
          <w:sz w:val="20"/>
        </w:rPr>
        <w:t>countries.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unaudited consolidated financial information included in this report has been prepared in accordance with accounting principles generally accepted in the United States (“GAAP”) for interim financial information and Article 10 of SEC Regulation S-X. All significant intercompany transactions and accounts have been eliminated. Variable interest entities for which the Company is the primary beneficiary are fully consolidated with the equity held by the outside stockholders and their portion of net income (loss) reflected as noncontrolling interest in the accompanying consolidated financial statements. The principles for interim financial information do not require the inclusion of all the information and footnotes required by GAAP for complete financial statements. Therefore, these financial statements should be read in conjunction with the financial statements included in the Company’s most recent Annual Report on Form 10-K. In the opinion of the Company’s management, the consolidated financial statements include all adjustments, which are of a normal recurring nature unless disclosed otherwise, necessary for a fair presentation of the results for the interim periods. The results of operations for the three and nine months ended September 30, 2023, are not necessarily indicative of the results to be expected for the full year.</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Use of Estimates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preparation of financial statements in conformity with GAAP requires management to make estimates and assumptions that affect reported and contingent amounts of assets and liabilities as of the date of the financial statements and reported amounts of revenues and expenses during the reporting period. Actual results could differ from those estimates.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Fair Value of Financial Instruments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carrying amounts of cash and cash equivalents, receivables and payables approximated fair value because of the relatively short maturity of these instruments. Cash equivalents include only those investments having a maturity date of three months or less at the time of purchase. See Note 14</w:t>
      </w:r>
      <w:r>
        <w:rPr>
          <w:rFonts w:ascii="Times New Roman" w:hAnsi="Times New Roman"/>
          <w:color w:val="FF0000"/>
          <w:sz w:val="20"/>
        </w:rPr>
        <w:t xml:space="preserve"> </w:t>
      </w:r>
      <w:r>
        <w:rPr>
          <w:rFonts w:ascii="Times New Roman" w:hAnsi="Times New Roman"/>
          <w:color w:val="000000"/>
          <w:sz w:val="20"/>
        </w:rPr>
        <w:t>“</w:t>
      </w:r>
      <w:r>
        <w:rPr>
          <w:rFonts w:ascii="Times New Roman" w:hAnsi="Times New Roman"/>
          <w:b w:val="false"/>
          <w:color w:val="000000"/>
          <w:sz w:val="20"/>
        </w:rPr>
        <w:t>Derivative Financial Instruments” for the fair value of derivative financial instruments.</w:t>
      </w:r>
    </w:p>
    <w:p>
      <w:pPr>
        <w:pStyle w:val="TextBody"/>
        <w:bidi w:val="0"/>
        <w:spacing w:before="240" w:after="283"/>
        <w:jc w:val="left"/>
        <w:rPr>
          <w:rFonts w:ascii="Times New Roman" w:hAnsi="Times New Roman"/>
          <w:sz w:val="20"/>
        </w:rPr>
      </w:pPr>
      <w:r>
        <w:rPr>
          <w:rFonts w:ascii="Times New Roman" w:hAnsi="Times New Roman"/>
          <w:b/>
          <w:color w:val="000000"/>
          <w:sz w:val="20"/>
        </w:rPr>
        <w:t>2. Revenue</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Company’s primary source of revenue is the sale of energy products and an extensive selection of products for industrial applications based upon purchase orders or contracts with customers. The majority of revenue is recognized at a point in time once the Company has determined that the customer has obtained control over the product. Control is typically deemed to have been transferred to the customer when the product is shipped, delivered or picked up by the customer. The Company does not grant extended payment terms. Revenue is recognized net of any taxes collected from customers, which are subsequently remitted to proper government authorities. Shipping and handling costs for product shipments occur prior to the customer obtaining control of the goods and are recorded in cost of products.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amount of revenue recognized reflects the consideration to which the Company expects to be entitled to receive in exchange for products sold. Revenue is recorded at the transaction price net of estimates of variable consideration, which may include product returns, trade discounts and allowances. The Company accrues for variable consideration using the expected value method. Estimates of variable consideration are included in revenue to the extent that it is probable that a significant reversal in the amount of cumulative revenue recognized will not occur.</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See Note 9 “Business Segments” for disaggregation of revenue by reporting segments. The Company believes this disaggregation best depicts how the nature, amount, timing and uncertainty of revenue and cash flows are affected by economic factors.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8</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Remaining Performance Obligations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Remaining performance obligations represent the transaction price of firm orders for which work has not been performed on contracts with an original expected duration of more than one year. The Company’s contracts are predominantly short-term in nature with a contract term of one year or less. For those contracts, the Company has utilized the practical expedient in Accounting Standards Codification (“ASC”) Topic 606 exempting the Company from disclosure of the transaction price allocated to remaining performance obligations when the performance obligation is part of a contract that has an original expected duration of one year or less.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Receivables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Receivables are recorded when the Company has an unconditional right to consideration. Receivables are recorded and carried at the original invoiced amount less the allowance for doubtful accounts (“AFDA”). The estimated AFDA reflects the Company’s immediate recognition of current expected credit losses by incorporating the historical loss experience, as well as current and future market conditions that are reasonably available. Judgments in the estimate of AFDA include global economic and business conditions, oil and gas industry and market conditions, customer’s financial conditions and accounts receivable past due. As of September 30, 2023 and December 31, 2022, AFDA totaled $27</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$25</w:t>
      </w:r>
      <w:r>
        <w:rPr>
          <w:rFonts w:ascii="Times New Roman" w:hAnsi="Times New Roman"/>
          <w:color w:val="000000"/>
          <w:sz w:val="20"/>
        </w:rPr>
        <w:t xml:space="preserve"> </w:t>
      </w:r>
      <w:r>
        <w:rPr>
          <w:rFonts w:ascii="Times New Roman" w:hAnsi="Times New Roman"/>
          <w:b w:val="false"/>
          <w:color w:val="000000"/>
          <w:sz w:val="20"/>
        </w:rPr>
        <w:t>million, respectively.</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Contract Assets and Liabilities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Contract assets primarily consist of retainage amounts held as a form of security by customers until the Company satisfies its remaining performance obligations. As of September 30, 2023 and December 31, 2022, contract assets were less than $1</w:t>
      </w:r>
      <w:r>
        <w:rPr>
          <w:rFonts w:ascii="Times New Roman" w:hAnsi="Times New Roman"/>
          <w:color w:val="000000"/>
          <w:sz w:val="20"/>
        </w:rPr>
        <w:t xml:space="preserve"> </w:t>
      </w:r>
      <w:r>
        <w:rPr>
          <w:rFonts w:ascii="Times New Roman" w:hAnsi="Times New Roman"/>
          <w:b w:val="false"/>
          <w:color w:val="000000"/>
          <w:sz w:val="20"/>
        </w:rPr>
        <w:t>million for both periods and were included in receivables, net in the consolidated balance sheets. The Company generally accounts for the incremental costs of obtaining a contract as an expense when incurred if the amortization period of the asset that the entity otherwise would have recognized is one year</w:t>
      </w:r>
      <w:r>
        <w:rPr>
          <w:rFonts w:ascii="Times New Roman" w:hAnsi="Times New Roman"/>
          <w:color w:val="000000"/>
          <w:sz w:val="20"/>
        </w:rPr>
        <w:t xml:space="preserve"> </w:t>
      </w:r>
      <w:r>
        <w:rPr>
          <w:rFonts w:ascii="Times New Roman" w:hAnsi="Times New Roman"/>
          <w:b w:val="false"/>
          <w:color w:val="000000"/>
          <w:sz w:val="20"/>
        </w:rPr>
        <w:t>or less; however, these expenses are not material.</w:t>
      </w:r>
    </w:p>
    <w:p>
      <w:pPr>
        <w:pStyle w:val="TextBody"/>
        <w:bidi w:val="0"/>
        <w:spacing w:before="120" w:after="200"/>
        <w:jc w:val="left"/>
        <w:rPr>
          <w:rFonts w:ascii="Times New Roman" w:hAnsi="Times New Roman"/>
          <w:sz w:val="20"/>
        </w:rPr>
      </w:pPr>
      <w:r>
        <w:rPr>
          <w:rFonts w:ascii="Times New Roman" w:hAnsi="Times New Roman"/>
          <w:b w:val="false"/>
          <w:color w:val="000000"/>
          <w:sz w:val="20"/>
        </w:rPr>
        <w:t>Contract liabilities primarily consist of deferred revenues recorded when customer payments are received or due in advance of satisfying performance obligations, including amounts which are refundable, and other accrued customer liabilities. Revenue recognition is deferred to a future period until the Company completes its obligations contractually agreed with customers. As of September 30, 2023 and December 31, 2022, contract liabilities were $30</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$33</w:t>
      </w:r>
      <w:r>
        <w:rPr>
          <w:rFonts w:ascii="Times New Roman" w:hAnsi="Times New Roman"/>
          <w:color w:val="000000"/>
          <w:sz w:val="20"/>
        </w:rPr>
        <w:t xml:space="preserve"> </w:t>
      </w:r>
      <w:r>
        <w:rPr>
          <w:rFonts w:ascii="Times New Roman" w:hAnsi="Times New Roman"/>
          <w:b w:val="false"/>
          <w:color w:val="000000"/>
          <w:sz w:val="20"/>
        </w:rPr>
        <w:t>million, respectively, and were included in accrued liabilities in the consolidated balance sheets. For the nine months ended September 30, 2023, the decrease in contract liabilities was primarily related to recognizing revenue of approximately $23</w:t>
      </w:r>
      <w:r>
        <w:rPr>
          <w:rFonts w:ascii="Times New Roman" w:hAnsi="Times New Roman"/>
          <w:color w:val="000000"/>
          <w:sz w:val="20"/>
        </w:rPr>
        <w:t xml:space="preserve"> </w:t>
      </w:r>
      <w:r>
        <w:rPr>
          <w:rFonts w:ascii="Times New Roman" w:hAnsi="Times New Roman"/>
          <w:b w:val="false"/>
          <w:color w:val="000000"/>
          <w:sz w:val="20"/>
        </w:rPr>
        <w:t>million that was deferred as of December 31, 2022, partially offset by net current year customer deposits of approximately $20</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 Inventory, net</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Inventories consist primarily of oilfield and industrial finished goods and work in process. Work in process primarily consists of inventory and labor related to customer specific engineered equipment. Finished goods are stated at the lower of cost or net realizable value and using average cost methods. Allowances for excess and obsolete inventories are determined based on the Company’s historical usage of inventory on hand as well as its future expectations.</w:t>
      </w:r>
    </w:p>
    <w:p>
      <w:pPr>
        <w:pStyle w:val="TextBody"/>
        <w:bidi w:val="0"/>
        <w:spacing w:before="120" w:after="240"/>
        <w:jc w:val="left"/>
        <w:rPr>
          <w:rFonts w:ascii="Times New Roman" w:hAnsi="Times New Roman"/>
          <w:sz w:val="20"/>
        </w:rPr>
      </w:pPr>
      <w:r>
        <w:rPr>
          <w:rFonts w:ascii="Times New Roman" w:hAnsi="Times New Roman"/>
          <w:b w:val="false"/>
          <w:color w:val="000000"/>
          <w:sz w:val="20"/>
        </w:rPr>
        <w:t xml:space="preserve">Inventories consist primarily of </w:t>
      </w:r>
      <w:r>
        <w:rPr>
          <w:rFonts w:ascii="Times New Roman" w:hAnsi="Times New Roman"/>
          <w:b w:val="false"/>
          <w:i/>
          <w:color w:val="000000"/>
          <w:sz w:val="20"/>
        </w:rPr>
        <w:t>(in millions):</w:t>
      </w:r>
    </w:p>
    <w:tbl>
      <w:tblPr>
        <w:tblW w:w="6195" w:type="dxa"/>
        <w:jc w:val="left"/>
        <w:tblInd w:w="0" w:type="dxa"/>
        <w:tblLayout w:type="fixed"/>
        <w:tblCellMar>
          <w:top w:w="28" w:type="dxa"/>
          <w:left w:w="28" w:type="dxa"/>
          <w:bottom w:w="28" w:type="dxa"/>
          <w:right w:w="28" w:type="dxa"/>
        </w:tblCellMar>
      </w:tblPr>
      <w:tblGrid>
        <w:gridCol w:w="2176"/>
        <w:gridCol w:w="146"/>
        <w:gridCol w:w="534"/>
        <w:gridCol w:w="1071"/>
        <w:gridCol w:w="166"/>
        <w:gridCol w:w="146"/>
        <w:gridCol w:w="514"/>
        <w:gridCol w:w="1031"/>
        <w:gridCol w:w="411"/>
      </w:tblGrid>
      <w:tr>
        <w:trPr/>
        <w:tc>
          <w:tcPr>
            <w:tcW w:w="2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176"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Work in process</w:t>
            </w:r>
          </w:p>
        </w:tc>
        <w:tc>
          <w:tcPr>
            <w:tcW w:w="146" w:type="dxa"/>
            <w:tcBorders/>
            <w:shd w:fill="CFF0FC" w:val="clear"/>
            <w:vAlign w:val="center"/>
          </w:tcPr>
          <w:p>
            <w:pPr>
              <w:pStyle w:val="TableContents"/>
              <w:bidi w:val="0"/>
              <w:spacing w:before="0" w:after="283"/>
              <w:jc w:val="left"/>
              <w:rPr/>
            </w:pPr>
            <w:r>
              <w:rPr/>
              <w:t> </w:t>
            </w:r>
          </w:p>
        </w:tc>
        <w:tc>
          <w:tcPr>
            <w:tcW w:w="53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w:t>
            </w:r>
          </w:p>
        </w:tc>
        <w:tc>
          <w:tcPr>
            <w:tcW w:w="411" w:type="dxa"/>
            <w:tcBorders/>
            <w:shd w:fill="CFF0FC" w:val="clear"/>
            <w:vAlign w:val="center"/>
          </w:tcPr>
          <w:p>
            <w:pPr>
              <w:pStyle w:val="TableContents"/>
              <w:bidi w:val="0"/>
              <w:spacing w:before="0" w:after="283"/>
              <w:jc w:val="left"/>
              <w:rPr/>
            </w:pPr>
            <w:r>
              <w:rPr/>
              <w:t> </w:t>
            </w:r>
          </w:p>
        </w:tc>
      </w:tr>
      <w:tr>
        <w:trPr/>
        <w:tc>
          <w:tcPr>
            <w:tcW w:w="21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Finished goods and other</w:t>
            </w:r>
          </w:p>
        </w:tc>
        <w:tc>
          <w:tcPr>
            <w:tcW w:w="146" w:type="dxa"/>
            <w:tcBorders/>
            <w:shd w:fill="FFFFFF" w:val="clear"/>
            <w:vAlign w:val="center"/>
          </w:tcPr>
          <w:p>
            <w:pPr>
              <w:pStyle w:val="TableContents"/>
              <w:bidi w:val="0"/>
              <w:spacing w:before="0" w:after="283"/>
              <w:jc w:val="left"/>
              <w:rPr/>
            </w:pPr>
            <w:r>
              <w:rPr/>
              <w:t> </w:t>
            </w:r>
          </w:p>
        </w:tc>
        <w:tc>
          <w:tcPr>
            <w:tcW w:w="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17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inventory</w:t>
            </w:r>
          </w:p>
        </w:tc>
        <w:tc>
          <w:tcPr>
            <w:tcW w:w="146" w:type="dxa"/>
            <w:tcBorders/>
            <w:shd w:fill="CFF0FC" w:val="clear"/>
            <w:vAlign w:val="center"/>
          </w:tcPr>
          <w:p>
            <w:pPr>
              <w:pStyle w:val="TableContents"/>
              <w:bidi w:val="0"/>
              <w:spacing w:before="0" w:after="283"/>
              <w:jc w:val="left"/>
              <w:rPr/>
            </w:pPr>
            <w:r>
              <w:rPr/>
              <w:t> </w:t>
            </w:r>
          </w:p>
        </w:tc>
        <w:tc>
          <w:tcPr>
            <w:tcW w:w="534" w:type="dxa"/>
            <w:tcBorders/>
            <w:shd w:fill="CFF0FC" w:val="clear"/>
            <w:vAlign w:val="center"/>
          </w:tcPr>
          <w:p>
            <w:pPr>
              <w:pStyle w:val="TableContents"/>
              <w:bidi w:val="0"/>
              <w:spacing w:before="0" w:after="283"/>
              <w:jc w:val="left"/>
              <w:rPr/>
            </w:pPr>
            <w:r>
              <w:rPr/>
              <w:t> </w:t>
            </w:r>
          </w:p>
        </w:tc>
        <w:tc>
          <w:tcPr>
            <w:tcW w:w="10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4" w:type="dxa"/>
            <w:tcBorders/>
            <w:shd w:fill="CFF0FC" w:val="clear"/>
            <w:vAlign w:val="center"/>
          </w:tcPr>
          <w:p>
            <w:pPr>
              <w:pStyle w:val="TableContents"/>
              <w:bidi w:val="0"/>
              <w:spacing w:before="0" w:after="283"/>
              <w:jc w:val="left"/>
              <w:rPr/>
            </w:pPr>
            <w:r>
              <w:rPr/>
              <w:t> </w:t>
            </w:r>
          </w:p>
        </w:tc>
        <w:tc>
          <w:tcPr>
            <w:tcW w:w="10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401</w:t>
            </w:r>
          </w:p>
        </w:tc>
        <w:tc>
          <w:tcPr>
            <w:tcW w:w="411" w:type="dxa"/>
            <w:tcBorders/>
            <w:shd w:fill="CFF0FC" w:val="clear"/>
            <w:vAlign w:val="center"/>
          </w:tcPr>
          <w:p>
            <w:pPr>
              <w:pStyle w:val="TableContents"/>
              <w:bidi w:val="0"/>
              <w:spacing w:before="0" w:after="283"/>
              <w:jc w:val="left"/>
              <w:rPr/>
            </w:pPr>
            <w:r>
              <w:rPr/>
              <w:t> </w:t>
            </w:r>
          </w:p>
        </w:tc>
      </w:tr>
      <w:tr>
        <w:trPr/>
        <w:tc>
          <w:tcPr>
            <w:tcW w:w="21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Less: Inventory reserves</w:t>
            </w:r>
          </w:p>
        </w:tc>
        <w:tc>
          <w:tcPr>
            <w:tcW w:w="146" w:type="dxa"/>
            <w:tcBorders/>
            <w:shd w:fill="FFFFFF" w:val="clear"/>
            <w:vAlign w:val="center"/>
          </w:tcPr>
          <w:p>
            <w:pPr>
              <w:pStyle w:val="TableContents"/>
              <w:bidi w:val="0"/>
              <w:spacing w:before="0" w:after="283"/>
              <w:jc w:val="left"/>
              <w:rPr/>
            </w:pPr>
            <w:r>
              <w:rPr/>
              <w:t> </w:t>
            </w:r>
          </w:p>
        </w:tc>
        <w:tc>
          <w:tcPr>
            <w:tcW w:w="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17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Inventories, net</w:t>
            </w:r>
          </w:p>
        </w:tc>
        <w:tc>
          <w:tcPr>
            <w:tcW w:w="146" w:type="dxa"/>
            <w:tcBorders/>
            <w:shd w:fill="CFF0FC" w:val="clear"/>
            <w:vAlign w:val="center"/>
          </w:tcPr>
          <w:p>
            <w:pPr>
              <w:pStyle w:val="TableContents"/>
              <w:bidi w:val="0"/>
              <w:spacing w:before="0" w:after="283"/>
              <w:jc w:val="left"/>
              <w:rPr/>
            </w:pPr>
            <w:r>
              <w:rPr/>
              <w:t> </w:t>
            </w:r>
          </w:p>
        </w:tc>
        <w:tc>
          <w:tcPr>
            <w:tcW w:w="5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9</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4. Property, Plant and Equipment, net</w:t>
      </w:r>
    </w:p>
    <w:p>
      <w:pPr>
        <w:pStyle w:val="TextBody"/>
        <w:bidi w:val="0"/>
        <w:spacing w:before="120" w:after="240"/>
        <w:jc w:val="left"/>
        <w:rPr>
          <w:rFonts w:ascii="Times New Roman" w:hAnsi="Times New Roman"/>
          <w:sz w:val="20"/>
        </w:rPr>
      </w:pPr>
      <w:r>
        <w:rPr>
          <w:rFonts w:ascii="Times New Roman" w:hAnsi="Times New Roman"/>
          <w:b w:val="false"/>
          <w:color w:val="000000"/>
          <w:sz w:val="20"/>
        </w:rPr>
        <w:t xml:space="preserve">Property, plant and equipment consist of </w:t>
      </w:r>
      <w:r>
        <w:rPr>
          <w:rFonts w:ascii="Times New Roman" w:hAnsi="Times New Roman"/>
          <w:b w:val="false"/>
          <w:i/>
          <w:color w:val="000000"/>
          <w:sz w:val="20"/>
        </w:rPr>
        <w:t>(in millions):</w:t>
      </w:r>
      <w:r>
        <w:rPr>
          <w:rFonts w:ascii="Times New Roman" w:hAnsi="Times New Roman"/>
          <w:color w:val="000000"/>
          <w:sz w:val="20"/>
        </w:rPr>
        <w:t xml:space="preserve"> </w:t>
      </w:r>
    </w:p>
    <w:tbl>
      <w:tblPr>
        <w:tblW w:w="8477" w:type="dxa"/>
        <w:jc w:val="left"/>
        <w:tblInd w:w="0" w:type="dxa"/>
        <w:tblLayout w:type="fixed"/>
        <w:tblCellMar>
          <w:top w:w="28" w:type="dxa"/>
          <w:left w:w="28" w:type="dxa"/>
          <w:bottom w:w="28" w:type="dxa"/>
          <w:right w:w="28" w:type="dxa"/>
        </w:tblCellMar>
      </w:tblPr>
      <w:tblGrid>
        <w:gridCol w:w="3161"/>
        <w:gridCol w:w="246"/>
        <w:gridCol w:w="1051"/>
        <w:gridCol w:w="146"/>
        <w:gridCol w:w="488"/>
        <w:gridCol w:w="1117"/>
        <w:gridCol w:w="166"/>
        <w:gridCol w:w="146"/>
        <w:gridCol w:w="470"/>
        <w:gridCol w:w="1075"/>
        <w:gridCol w:w="411"/>
      </w:tblGrid>
      <w:tr>
        <w:trPr/>
        <w:tc>
          <w:tcPr>
            <w:tcW w:w="316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161" w:type="dxa"/>
            <w:tcBorders/>
            <w:shd w:fill="FFFFFF" w:val="clear"/>
            <w:vAlign w:val="center"/>
          </w:tcPr>
          <w:p>
            <w:pPr>
              <w:pStyle w:val="TableContents"/>
              <w:bidi w:val="0"/>
              <w:spacing w:before="0" w:after="283"/>
              <w:jc w:val="left"/>
              <w:rPr>
                <w:sz w:val="4"/>
                <w:szCs w:val="4"/>
              </w:rPr>
            </w:pPr>
            <w:r>
              <w:rPr>
                <w:sz w:val="4"/>
                <w:szCs w:val="4"/>
              </w:rPr>
            </w:r>
          </w:p>
        </w:tc>
        <w:tc>
          <w:tcPr>
            <w:tcW w:w="246" w:type="dxa"/>
            <w:tcBorders/>
            <w:shd w:fill="FFFFFF" w:val="clear"/>
            <w:vAlign w:val="center"/>
          </w:tcPr>
          <w:p>
            <w:pPr>
              <w:pStyle w:val="TableContents"/>
              <w:bidi w:val="0"/>
              <w:spacing w:before="0" w:after="283"/>
              <w:jc w:val="both"/>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Estimated </w:t>
              <w:br/>
              <w:t>Useful Lives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Information technology assets</w:t>
            </w:r>
          </w:p>
        </w:tc>
        <w:tc>
          <w:tcPr>
            <w:tcW w:w="246" w:type="dxa"/>
            <w:tcBorders/>
            <w:shd w:fill="CFF0FC" w:val="clear"/>
            <w:vAlign w:val="center"/>
          </w:tcPr>
          <w:p>
            <w:pPr>
              <w:pStyle w:val="TableContents"/>
              <w:bidi w:val="0"/>
              <w:spacing w:before="0" w:after="283"/>
              <w:jc w:val="left"/>
              <w:rPr/>
            </w:pPr>
            <w:r>
              <w:rPr/>
              <w:t> </w:t>
            </w:r>
          </w:p>
        </w:tc>
        <w:tc>
          <w:tcPr>
            <w:tcW w:w="1051" w:type="dxa"/>
            <w:tcBorders/>
            <w:shd w:fill="CFF0FC" w:val="cle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1-7</w:t>
            </w:r>
            <w:r>
              <w:rPr>
                <w:rFonts w:ascii="Times New Roman" w:hAnsi="Times New Roman"/>
                <w:color w:val="000000"/>
                <w:sz w:val="20"/>
              </w:rPr>
              <w:t> </w:t>
            </w:r>
            <w:r>
              <w:rPr>
                <w:rFonts w:ascii="Times New Roman" w:hAnsi="Times New Roman"/>
                <w:b w:val="false"/>
                <w:color w:val="000000"/>
                <w:sz w:val="20"/>
              </w:rPr>
              <w:t>Years</w:t>
            </w:r>
          </w:p>
        </w:tc>
        <w:tc>
          <w:tcPr>
            <w:tcW w:w="146" w:type="dxa"/>
            <w:tcBorders/>
            <w:shd w:fill="CFF0FC" w:val="clear"/>
            <w:vAlign w:val="center"/>
          </w:tcPr>
          <w:p>
            <w:pPr>
              <w:pStyle w:val="TableContents"/>
              <w:bidi w:val="0"/>
              <w:spacing w:before="0" w:after="283"/>
              <w:jc w:val="center"/>
              <w:rPr/>
            </w:pPr>
            <w:r>
              <w:rPr/>
              <w:t> </w:t>
            </w:r>
          </w:p>
        </w:tc>
        <w:tc>
          <w:tcPr>
            <w:tcW w:w="48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1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7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w:t>
            </w:r>
          </w:p>
        </w:tc>
        <w:tc>
          <w:tcPr>
            <w:tcW w:w="411" w:type="dxa"/>
            <w:tcBorders/>
            <w:shd w:fill="CFF0FC" w:val="clear"/>
            <w:vAlign w:val="center"/>
          </w:tcPr>
          <w:p>
            <w:pPr>
              <w:pStyle w:val="TableContents"/>
              <w:bidi w:val="0"/>
              <w:spacing w:before="0" w:after="283"/>
              <w:jc w:val="left"/>
              <w:rPr/>
            </w:pPr>
            <w:r>
              <w:rPr/>
              <w:t> </w:t>
            </w:r>
          </w:p>
        </w:tc>
      </w:tr>
      <w:tr>
        <w:trPr/>
        <w:tc>
          <w:tcPr>
            <w:tcW w:w="316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Operating equipment</w:t>
            </w:r>
            <w:r>
              <w:rPr>
                <w:rFonts w:ascii="Times New Roman" w:hAnsi="Times New Roman"/>
                <w:color w:val="000000"/>
                <w:sz w:val="20"/>
              </w:rPr>
              <w:t> </w:t>
            </w:r>
            <w:r>
              <w:rPr>
                <w:rFonts w:ascii="Times New Roman" w:hAnsi="Times New Roman"/>
                <w:b w:val="false"/>
                <w:color w:val="000000"/>
                <w:sz w:val="13"/>
              </w:rPr>
              <w:t>(1)</w:t>
            </w:r>
          </w:p>
        </w:tc>
        <w:tc>
          <w:tcPr>
            <w:tcW w:w="246" w:type="dxa"/>
            <w:tcBorders/>
            <w:shd w:fill="FFFFFF" w:val="clear"/>
            <w:vAlign w:val="center"/>
          </w:tcPr>
          <w:p>
            <w:pPr>
              <w:pStyle w:val="TableContents"/>
              <w:bidi w:val="0"/>
              <w:spacing w:before="0" w:after="283"/>
              <w:jc w:val="both"/>
              <w:rPr/>
            </w:pPr>
            <w:r>
              <w:rPr/>
              <w:t> </w:t>
            </w:r>
          </w:p>
        </w:tc>
        <w:tc>
          <w:tcPr>
            <w:tcW w:w="1051"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2-15</w:t>
            </w:r>
            <w:r>
              <w:rPr>
                <w:rFonts w:ascii="Times New Roman" w:hAnsi="Times New Roman"/>
                <w:color w:val="000000"/>
                <w:sz w:val="20"/>
              </w:rPr>
              <w:t> </w:t>
            </w:r>
            <w:r>
              <w:rPr>
                <w:rFonts w:ascii="Times New Roman" w:hAnsi="Times New Roman"/>
                <w:b w:val="false"/>
                <w:color w:val="000000"/>
                <w:sz w:val="20"/>
              </w:rPr>
              <w:t>Years</w:t>
            </w:r>
          </w:p>
        </w:tc>
        <w:tc>
          <w:tcPr>
            <w:tcW w:w="146" w:type="dxa"/>
            <w:tcBorders/>
            <w:shd w:fill="FFFFFF" w:val="clear"/>
            <w:vAlign w:val="center"/>
          </w:tcPr>
          <w:p>
            <w:pPr>
              <w:pStyle w:val="TableContents"/>
              <w:bidi w:val="0"/>
              <w:spacing w:before="0" w:after="283"/>
              <w:jc w:val="center"/>
              <w:rPr/>
            </w:pPr>
            <w:r>
              <w:rPr/>
              <w:t> </w:t>
            </w:r>
          </w:p>
        </w:tc>
        <w:tc>
          <w:tcPr>
            <w:tcW w:w="488"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70"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w:t>
            </w:r>
          </w:p>
        </w:tc>
        <w:tc>
          <w:tcPr>
            <w:tcW w:w="411" w:type="dxa"/>
            <w:tcBorders/>
            <w:shd w:fill="FFFFFF" w:val="clear"/>
            <w:vAlign w:val="center"/>
          </w:tcPr>
          <w:p>
            <w:pPr>
              <w:pStyle w:val="TableContents"/>
              <w:bidi w:val="0"/>
              <w:spacing w:before="0" w:after="283"/>
              <w:jc w:val="left"/>
              <w:rPr/>
            </w:pPr>
            <w:r>
              <w:rPr/>
              <w:t> </w:t>
            </w:r>
          </w:p>
        </w:tc>
      </w:tr>
      <w:tr>
        <w:trPr/>
        <w:tc>
          <w:tcPr>
            <w:tcW w:w="316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Buildings and land</w:t>
            </w:r>
            <w:r>
              <w:rPr>
                <w:rFonts w:ascii="Times New Roman" w:hAnsi="Times New Roman"/>
                <w:color w:val="000000"/>
                <w:sz w:val="20"/>
              </w:rPr>
              <w:t> </w:t>
            </w:r>
            <w:r>
              <w:rPr>
                <w:rFonts w:ascii="Times New Roman" w:hAnsi="Times New Roman"/>
                <w:b w:val="false"/>
                <w:color w:val="000000"/>
                <w:sz w:val="13"/>
              </w:rPr>
              <w:t>(2)</w:t>
            </w:r>
          </w:p>
        </w:tc>
        <w:tc>
          <w:tcPr>
            <w:tcW w:w="246" w:type="dxa"/>
            <w:tcBorders/>
            <w:shd w:fill="CFF0FC" w:val="clear"/>
            <w:vAlign w:val="center"/>
          </w:tcPr>
          <w:p>
            <w:pPr>
              <w:pStyle w:val="TableContents"/>
              <w:bidi w:val="0"/>
              <w:spacing w:before="0" w:after="283"/>
              <w:jc w:val="both"/>
              <w:rPr/>
            </w:pPr>
            <w:r>
              <w:rPr/>
              <w:t> </w:t>
            </w:r>
          </w:p>
        </w:tc>
        <w:tc>
          <w:tcPr>
            <w:tcW w:w="1051" w:type="dxa"/>
            <w:tcBorders/>
            <w:shd w:fill="CFF0FC" w:val="cle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5-35</w:t>
            </w:r>
            <w:r>
              <w:rPr>
                <w:rFonts w:ascii="Times New Roman" w:hAnsi="Times New Roman"/>
                <w:color w:val="000000"/>
                <w:sz w:val="20"/>
              </w:rPr>
              <w:t> </w:t>
            </w:r>
            <w:r>
              <w:rPr>
                <w:rFonts w:ascii="Times New Roman" w:hAnsi="Times New Roman"/>
                <w:b w:val="false"/>
                <w:color w:val="000000"/>
                <w:sz w:val="20"/>
              </w:rPr>
              <w:t>Years</w:t>
            </w:r>
          </w:p>
        </w:tc>
        <w:tc>
          <w:tcPr>
            <w:tcW w:w="146" w:type="dxa"/>
            <w:tcBorders/>
            <w:shd w:fill="CFF0FC" w:val="clear"/>
            <w:vAlign w:val="center"/>
          </w:tcPr>
          <w:p>
            <w:pPr>
              <w:pStyle w:val="TableContents"/>
              <w:bidi w:val="0"/>
              <w:spacing w:before="0" w:after="283"/>
              <w:jc w:val="center"/>
              <w:rPr/>
            </w:pPr>
            <w:r>
              <w:rPr/>
              <w:t> </w:t>
            </w:r>
          </w:p>
        </w:tc>
        <w:tc>
          <w:tcPr>
            <w:tcW w:w="488" w:type="dxa"/>
            <w:tcBorders/>
            <w:shd w:fill="CFF0FC" w:val="clear"/>
            <w:vAlign w:val="center"/>
          </w:tcPr>
          <w:p>
            <w:pPr>
              <w:pStyle w:val="TableContents"/>
              <w:bidi w:val="0"/>
              <w:spacing w:before="0" w:after="283"/>
              <w:jc w:val="left"/>
              <w:rPr/>
            </w:pPr>
            <w:r>
              <w:rPr/>
              <w:t> </w:t>
            </w:r>
          </w:p>
        </w:tc>
        <w:tc>
          <w:tcPr>
            <w:tcW w:w="111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70" w:type="dxa"/>
            <w:tcBorders/>
            <w:shd w:fill="CFF0FC" w:val="clear"/>
            <w:vAlign w:val="center"/>
          </w:tcPr>
          <w:p>
            <w:pPr>
              <w:pStyle w:val="TableContents"/>
              <w:bidi w:val="0"/>
              <w:spacing w:before="0" w:after="283"/>
              <w:jc w:val="left"/>
              <w:rPr/>
            </w:pPr>
            <w:r>
              <w:rPr/>
              <w:t> </w:t>
            </w:r>
          </w:p>
        </w:tc>
        <w:tc>
          <w:tcPr>
            <w:tcW w:w="107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w:t>
            </w:r>
          </w:p>
        </w:tc>
        <w:tc>
          <w:tcPr>
            <w:tcW w:w="411" w:type="dxa"/>
            <w:tcBorders/>
            <w:shd w:fill="CFF0FC" w:val="clear"/>
            <w:vAlign w:val="center"/>
          </w:tcPr>
          <w:p>
            <w:pPr>
              <w:pStyle w:val="TableContents"/>
              <w:bidi w:val="0"/>
              <w:spacing w:before="0" w:after="283"/>
              <w:jc w:val="left"/>
              <w:rPr/>
            </w:pPr>
            <w:r>
              <w:rPr/>
              <w:t> </w:t>
            </w:r>
          </w:p>
        </w:tc>
      </w:tr>
      <w:tr>
        <w:trPr/>
        <w:tc>
          <w:tcPr>
            <w:tcW w:w="31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Construction in progress</w:t>
            </w:r>
          </w:p>
        </w:tc>
        <w:tc>
          <w:tcPr>
            <w:tcW w:w="246" w:type="dxa"/>
            <w:tcBorders/>
            <w:shd w:fill="FFFFFF" w:val="clear"/>
            <w:vAlign w:val="center"/>
          </w:tcPr>
          <w:p>
            <w:pPr>
              <w:pStyle w:val="TableContents"/>
              <w:bidi w:val="0"/>
              <w:spacing w:before="0" w:after="283"/>
              <w:jc w:val="both"/>
              <w:rPr/>
            </w:pPr>
            <w:r>
              <w:rPr/>
              <w:t> </w:t>
            </w:r>
          </w:p>
        </w:tc>
        <w:tc>
          <w:tcPr>
            <w:tcW w:w="1051"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both"/>
              <w:rPr/>
            </w:pPr>
            <w:r>
              <w:rPr/>
              <w:t> </w:t>
            </w:r>
          </w:p>
        </w:tc>
        <w:tc>
          <w:tcPr>
            <w:tcW w:w="4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61"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Total property, plant and equipment</w:t>
            </w:r>
          </w:p>
        </w:tc>
        <w:tc>
          <w:tcPr>
            <w:tcW w:w="246" w:type="dxa"/>
            <w:tcBorders/>
            <w:shd w:fill="CFF0FC" w:val="clear"/>
            <w:vAlign w:val="center"/>
          </w:tcPr>
          <w:p>
            <w:pPr>
              <w:pStyle w:val="TableContents"/>
              <w:bidi w:val="0"/>
              <w:spacing w:before="0" w:after="283"/>
              <w:ind w:left="0" w:right="0" w:firstLine="100"/>
              <w:jc w:val="left"/>
              <w:rPr/>
            </w:pPr>
            <w:r>
              <w:rPr/>
              <w:t> </w:t>
            </w:r>
          </w:p>
        </w:tc>
        <w:tc>
          <w:tcPr>
            <w:tcW w:w="1051" w:type="dxa"/>
            <w:tcBorders/>
            <w:shd w:fill="CFF0FC" w:val="clear"/>
            <w:vAlign w:val="center"/>
          </w:tcPr>
          <w:p>
            <w:pPr>
              <w:pStyle w:val="TableContents"/>
              <w:bidi w:val="0"/>
              <w:spacing w:before="0" w:after="283"/>
              <w:ind w:left="100" w:right="0" w:firstLine="100"/>
              <w:jc w:val="left"/>
              <w:rPr/>
            </w:pPr>
            <w:r>
              <w:rPr/>
              <w:t> </w:t>
            </w:r>
          </w:p>
        </w:tc>
        <w:tc>
          <w:tcPr>
            <w:tcW w:w="146" w:type="dxa"/>
            <w:tcBorders/>
            <w:shd w:fill="CFF0FC" w:val="clear"/>
            <w:vAlign w:val="center"/>
          </w:tcPr>
          <w:p>
            <w:pPr>
              <w:pStyle w:val="TableContents"/>
              <w:bidi w:val="0"/>
              <w:spacing w:before="0" w:after="283"/>
              <w:jc w:val="both"/>
              <w:rPr/>
            </w:pPr>
            <w:r>
              <w:rPr/>
              <w:t> </w:t>
            </w:r>
          </w:p>
        </w:tc>
        <w:tc>
          <w:tcPr>
            <w:tcW w:w="488" w:type="dxa"/>
            <w:tcBorders/>
            <w:shd w:fill="CFF0FC" w:val="clear"/>
            <w:vAlign w:val="center"/>
          </w:tcPr>
          <w:p>
            <w:pPr>
              <w:pStyle w:val="TableContents"/>
              <w:bidi w:val="0"/>
              <w:spacing w:before="0" w:after="283"/>
              <w:jc w:val="left"/>
              <w:rPr/>
            </w:pPr>
            <w:r>
              <w:rPr/>
              <w:t> </w:t>
            </w:r>
          </w:p>
        </w:tc>
        <w:tc>
          <w:tcPr>
            <w:tcW w:w="111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70" w:type="dxa"/>
            <w:tcBorders/>
            <w:shd w:fill="CFF0FC" w:val="clear"/>
            <w:vAlign w:val="center"/>
          </w:tcPr>
          <w:p>
            <w:pPr>
              <w:pStyle w:val="TableContents"/>
              <w:bidi w:val="0"/>
              <w:spacing w:before="0" w:after="283"/>
              <w:jc w:val="left"/>
              <w:rPr/>
            </w:pPr>
            <w:r>
              <w:rPr/>
              <w:t> </w:t>
            </w:r>
          </w:p>
        </w:tc>
        <w:tc>
          <w:tcPr>
            <w:tcW w:w="107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286</w:t>
            </w:r>
          </w:p>
        </w:tc>
        <w:tc>
          <w:tcPr>
            <w:tcW w:w="411" w:type="dxa"/>
            <w:tcBorders/>
            <w:shd w:fill="CFF0FC" w:val="clear"/>
            <w:vAlign w:val="center"/>
          </w:tcPr>
          <w:p>
            <w:pPr>
              <w:pStyle w:val="TableContents"/>
              <w:bidi w:val="0"/>
              <w:spacing w:before="0" w:after="283"/>
              <w:jc w:val="left"/>
              <w:rPr/>
            </w:pPr>
            <w:r>
              <w:rPr/>
              <w:t> </w:t>
            </w:r>
          </w:p>
        </w:tc>
      </w:tr>
      <w:tr>
        <w:trPr/>
        <w:tc>
          <w:tcPr>
            <w:tcW w:w="31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Less: accumulated depreciation</w:t>
            </w:r>
          </w:p>
        </w:tc>
        <w:tc>
          <w:tcPr>
            <w:tcW w:w="246" w:type="dxa"/>
            <w:tcBorders/>
            <w:shd w:fill="FFFFFF" w:val="clear"/>
            <w:vAlign w:val="center"/>
          </w:tcPr>
          <w:p>
            <w:pPr>
              <w:pStyle w:val="TableContents"/>
              <w:bidi w:val="0"/>
              <w:spacing w:before="0" w:after="283"/>
              <w:jc w:val="both"/>
              <w:rPr/>
            </w:pPr>
            <w:r>
              <w:rPr/>
              <w:t> </w:t>
            </w:r>
          </w:p>
        </w:tc>
        <w:tc>
          <w:tcPr>
            <w:tcW w:w="1051"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both"/>
              <w:rPr/>
            </w:pPr>
            <w:r>
              <w:rPr/>
              <w:t> </w:t>
            </w:r>
          </w:p>
        </w:tc>
        <w:tc>
          <w:tcPr>
            <w:tcW w:w="4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4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161"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Property, plant and equipment, net</w:t>
            </w:r>
          </w:p>
        </w:tc>
        <w:tc>
          <w:tcPr>
            <w:tcW w:w="246" w:type="dxa"/>
            <w:tcBorders/>
            <w:shd w:fill="CFF0FC" w:val="clear"/>
            <w:vAlign w:val="center"/>
          </w:tcPr>
          <w:p>
            <w:pPr>
              <w:pStyle w:val="TableContents"/>
              <w:bidi w:val="0"/>
              <w:spacing w:before="0" w:after="283"/>
              <w:ind w:left="0" w:right="0" w:firstLine="100"/>
              <w:jc w:val="left"/>
              <w:rPr/>
            </w:pPr>
            <w:r>
              <w:rPr/>
              <w:t> </w:t>
            </w:r>
          </w:p>
        </w:tc>
        <w:tc>
          <w:tcPr>
            <w:tcW w:w="1051" w:type="dxa"/>
            <w:tcBorders/>
            <w:shd w:fill="CFF0FC" w:val="clear"/>
            <w:vAlign w:val="center"/>
          </w:tcPr>
          <w:p>
            <w:pPr>
              <w:pStyle w:val="TableContents"/>
              <w:bidi w:val="0"/>
              <w:spacing w:before="0" w:after="283"/>
              <w:ind w:left="100" w:right="0" w:firstLine="100"/>
              <w:jc w:val="left"/>
              <w:rPr/>
            </w:pPr>
            <w:r>
              <w:rPr/>
              <w:t> </w:t>
            </w:r>
          </w:p>
        </w:tc>
        <w:tc>
          <w:tcPr>
            <w:tcW w:w="146" w:type="dxa"/>
            <w:tcBorders/>
            <w:shd w:fill="CFF0FC" w:val="clear"/>
            <w:vAlign w:val="center"/>
          </w:tcPr>
          <w:p>
            <w:pPr>
              <w:pStyle w:val="TableContents"/>
              <w:bidi w:val="0"/>
              <w:spacing w:before="0" w:after="283"/>
              <w:jc w:val="both"/>
              <w:rPr/>
            </w:pPr>
            <w:r>
              <w:rPr/>
              <w:t> </w:t>
            </w:r>
          </w:p>
        </w:tc>
        <w:tc>
          <w:tcPr>
            <w:tcW w:w="4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b w:val="false"/>
          <w:color w:val="000000"/>
          <w:sz w:val="18"/>
        </w:rPr>
      </w:pPr>
      <w:r>
        <w:rPr>
          <w:rFonts w:ascii="Times New Roman" w:hAnsi="Times New Roman"/>
          <w:b w:val="false"/>
          <w:color w:val="000000"/>
          <w:sz w:val="18"/>
        </w:rPr>
        <w:t>(1)</w:t>
      </w:r>
    </w:p>
    <w:p>
      <w:pPr>
        <w:pStyle w:val="TextBody"/>
        <w:bidi w:val="0"/>
        <w:spacing w:before="40" w:after="283"/>
        <w:jc w:val="left"/>
        <w:rPr>
          <w:rFonts w:ascii="Times New Roman" w:hAnsi="Times New Roman"/>
          <w:sz w:val="20"/>
        </w:rPr>
      </w:pPr>
      <w:r>
        <w:rPr>
          <w:rFonts w:ascii="Times New Roman" w:hAnsi="Times New Roman"/>
          <w:b w:val="false"/>
          <w:color w:val="000000"/>
          <w:sz w:val="19"/>
        </w:rPr>
        <w:t>Includes finance lease right-of-use assets</w:t>
      </w:r>
      <w:r>
        <w:rPr>
          <w:rFonts w:ascii="Times New Roman" w:hAnsi="Times New Roman"/>
          <w:b w:val="false"/>
          <w:color w:val="000000"/>
          <w:sz w:val="18"/>
        </w:rPr>
        <w:t>.</w:t>
      </w:r>
    </w:p>
    <w:p>
      <w:pPr>
        <w:pStyle w:val="TextBody"/>
        <w:bidi w:val="0"/>
        <w:spacing w:before="40" w:after="283"/>
        <w:jc w:val="left"/>
        <w:rPr>
          <w:rFonts w:ascii="Times New Roman" w:hAnsi="Times New Roman"/>
          <w:b w:val="false"/>
          <w:color w:val="000000"/>
          <w:sz w:val="18"/>
        </w:rPr>
      </w:pPr>
      <w:r>
        <w:rPr>
          <w:rFonts w:ascii="Times New Roman" w:hAnsi="Times New Roman"/>
          <w:b w:val="false"/>
          <w:color w:val="000000"/>
          <w:sz w:val="18"/>
        </w:rPr>
        <w:t>(2)</w:t>
      </w:r>
    </w:p>
    <w:p>
      <w:pPr>
        <w:pStyle w:val="TextBody"/>
        <w:bidi w:val="0"/>
        <w:spacing w:before="40" w:after="283"/>
        <w:jc w:val="left"/>
        <w:rPr>
          <w:rFonts w:ascii="Times New Roman" w:hAnsi="Times New Roman"/>
          <w:sz w:val="20"/>
        </w:rPr>
      </w:pPr>
      <w:r>
        <w:rPr>
          <w:rFonts w:ascii="Times New Roman" w:hAnsi="Times New Roman"/>
          <w:b w:val="false"/>
          <w:color w:val="000000"/>
          <w:sz w:val="19"/>
        </w:rPr>
        <w:t>Land has an indefinite life</w:t>
      </w:r>
      <w:r>
        <w:rPr>
          <w:rFonts w:ascii="Times New Roman" w:hAnsi="Times New Roman"/>
          <w:b w:val="false"/>
          <w:color w:val="000000"/>
          <w:sz w:val="20"/>
        </w:rPr>
        <w: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5. Accrued Liabilities</w:t>
      </w:r>
    </w:p>
    <w:p>
      <w:pPr>
        <w:pStyle w:val="TextBody"/>
        <w:bidi w:val="0"/>
        <w:spacing w:before="120" w:after="240"/>
        <w:jc w:val="left"/>
        <w:rPr>
          <w:rFonts w:ascii="Times New Roman" w:hAnsi="Times New Roman"/>
          <w:sz w:val="20"/>
        </w:rPr>
      </w:pPr>
      <w:r>
        <w:rPr>
          <w:rFonts w:ascii="Times New Roman" w:hAnsi="Times New Roman"/>
          <w:b w:val="false"/>
          <w:color w:val="000000"/>
          <w:sz w:val="20"/>
        </w:rPr>
        <w:t>Accrued liabilities consist of (</w:t>
      </w:r>
      <w:r>
        <w:rPr>
          <w:rFonts w:ascii="Times New Roman" w:hAnsi="Times New Roman"/>
          <w:b w:val="false"/>
          <w:i/>
          <w:color w:val="000000"/>
          <w:sz w:val="20"/>
        </w:rPr>
        <w:t>in millions</w:t>
      </w:r>
      <w:r>
        <w:rPr>
          <w:rFonts w:ascii="Times New Roman" w:hAnsi="Times New Roman"/>
          <w:b w:val="false"/>
          <w:color w:val="000000"/>
          <w:sz w:val="20"/>
        </w:rPr>
        <w:t>):</w:t>
      </w:r>
    </w:p>
    <w:tbl>
      <w:tblPr>
        <w:tblW w:w="7670" w:type="dxa"/>
        <w:jc w:val="left"/>
        <w:tblInd w:w="0" w:type="dxa"/>
        <w:tblLayout w:type="fixed"/>
        <w:tblCellMar>
          <w:top w:w="28" w:type="dxa"/>
          <w:left w:w="28" w:type="dxa"/>
          <w:bottom w:w="28" w:type="dxa"/>
          <w:right w:w="28" w:type="dxa"/>
        </w:tblCellMar>
      </w:tblPr>
      <w:tblGrid>
        <w:gridCol w:w="3691"/>
        <w:gridCol w:w="146"/>
        <w:gridCol w:w="534"/>
        <w:gridCol w:w="1071"/>
        <w:gridCol w:w="146"/>
        <w:gridCol w:w="146"/>
        <w:gridCol w:w="514"/>
        <w:gridCol w:w="1031"/>
        <w:gridCol w:w="391"/>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vAlign w:val="center"/>
          </w:tcPr>
          <w:p>
            <w:pPr>
              <w:pStyle w:val="TableContents"/>
              <w:bidi w:val="0"/>
              <w:spacing w:before="0" w:after="283"/>
              <w:jc w:val="both"/>
              <w:rPr/>
            </w:pPr>
            <w:r>
              <w:rPr/>
              <w:t> </w:t>
            </w:r>
          </w:p>
        </w:tc>
        <w:tc>
          <w:tcPr>
            <w:tcW w:w="146" w:type="dxa"/>
            <w:tcBorders/>
            <w:shd w:fill="FFFFFF" w:val="cle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Compensation and other related expenses</w:t>
            </w:r>
          </w:p>
        </w:tc>
        <w:tc>
          <w:tcPr>
            <w:tcW w:w="146" w:type="dxa"/>
            <w:tcBorders/>
            <w:shd w:fill="CFF0FC" w:val="clear"/>
            <w:vAlign w:val="center"/>
          </w:tcPr>
          <w:p>
            <w:pPr>
              <w:pStyle w:val="TableContents"/>
              <w:bidi w:val="0"/>
              <w:spacing w:before="0" w:after="283"/>
              <w:jc w:val="left"/>
              <w:rPr/>
            </w:pPr>
            <w:r>
              <w:rPr/>
              <w:t> </w:t>
            </w:r>
          </w:p>
        </w:tc>
        <w:tc>
          <w:tcPr>
            <w:tcW w:w="53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w:t>
            </w:r>
          </w:p>
        </w:tc>
        <w:tc>
          <w:tcPr>
            <w:tcW w:w="391" w:type="dxa"/>
            <w:tcBorders/>
            <w:shd w:fill="CFF0FC" w:val="clear"/>
            <w:vAlign w:val="center"/>
          </w:tcPr>
          <w:p>
            <w:pPr>
              <w:pStyle w:val="TableContents"/>
              <w:bidi w:val="0"/>
              <w:spacing w:before="0" w:after="283"/>
              <w:jc w:val="left"/>
              <w:rPr/>
            </w:pPr>
            <w:r>
              <w:rPr/>
              <w:t> </w:t>
            </w:r>
          </w:p>
        </w:tc>
      </w:tr>
      <w:tr>
        <w:trPr/>
        <w:tc>
          <w:tcPr>
            <w:tcW w:w="36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Contract liabilities</w:t>
            </w:r>
          </w:p>
        </w:tc>
        <w:tc>
          <w:tcPr>
            <w:tcW w:w="146"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w:t>
            </w:r>
          </w:p>
        </w:tc>
        <w:tc>
          <w:tcPr>
            <w:tcW w:w="391" w:type="dxa"/>
            <w:tcBorders/>
            <w:shd w:fill="FFFFFF" w:val="clear"/>
            <w:vAlign w:val="center"/>
          </w:tcPr>
          <w:p>
            <w:pPr>
              <w:pStyle w:val="TableContents"/>
              <w:bidi w:val="0"/>
              <w:spacing w:before="0" w:after="283"/>
              <w:jc w:val="left"/>
              <w:rPr/>
            </w:pPr>
            <w:r>
              <w:rPr/>
              <w:t> </w:t>
            </w:r>
          </w:p>
        </w:tc>
      </w:tr>
      <w:tr>
        <w:trPr/>
        <w:tc>
          <w:tcPr>
            <w:tcW w:w="36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Taxes (non-income)</w:t>
            </w:r>
          </w:p>
        </w:tc>
        <w:tc>
          <w:tcPr>
            <w:tcW w:w="146" w:type="dxa"/>
            <w:tcBorders/>
            <w:shd w:fill="CFF0FC" w:val="clear"/>
            <w:vAlign w:val="center"/>
          </w:tcPr>
          <w:p>
            <w:pPr>
              <w:pStyle w:val="TableContents"/>
              <w:bidi w:val="0"/>
              <w:spacing w:before="0" w:after="283"/>
              <w:jc w:val="left"/>
              <w:rPr/>
            </w:pPr>
            <w:r>
              <w:rPr/>
              <w:t> </w:t>
            </w:r>
          </w:p>
        </w:tc>
        <w:tc>
          <w:tcPr>
            <w:tcW w:w="534" w:type="dxa"/>
            <w:tcBorders/>
            <w:shd w:fill="CFF0FC" w:val="clear"/>
            <w:vAlign w:val="center"/>
          </w:tcPr>
          <w:p>
            <w:pPr>
              <w:pStyle w:val="TableContents"/>
              <w:bidi w:val="0"/>
              <w:spacing w:before="0" w:after="283"/>
              <w:jc w:val="left"/>
              <w:rPr/>
            </w:pPr>
            <w:r>
              <w:rPr/>
              <w:t> </w:t>
            </w:r>
          </w:p>
        </w:tc>
        <w:tc>
          <w:tcPr>
            <w:tcW w:w="10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4" w:type="dxa"/>
            <w:tcBorders/>
            <w:shd w:fill="CFF0FC" w:val="clear"/>
            <w:vAlign w:val="center"/>
          </w:tcPr>
          <w:p>
            <w:pPr>
              <w:pStyle w:val="TableContents"/>
              <w:bidi w:val="0"/>
              <w:spacing w:before="0" w:after="283"/>
              <w:jc w:val="left"/>
              <w:rPr/>
            </w:pPr>
            <w:r>
              <w:rPr/>
              <w:t> </w:t>
            </w:r>
          </w:p>
        </w:tc>
        <w:tc>
          <w:tcPr>
            <w:tcW w:w="10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w:t>
            </w:r>
          </w:p>
        </w:tc>
        <w:tc>
          <w:tcPr>
            <w:tcW w:w="391" w:type="dxa"/>
            <w:tcBorders/>
            <w:shd w:fill="CFF0FC" w:val="clear"/>
            <w:vAlign w:val="center"/>
          </w:tcPr>
          <w:p>
            <w:pPr>
              <w:pStyle w:val="TableContents"/>
              <w:bidi w:val="0"/>
              <w:spacing w:before="0" w:after="283"/>
              <w:jc w:val="left"/>
              <w:rPr/>
            </w:pPr>
            <w:r>
              <w:rPr/>
              <w:t> </w:t>
            </w:r>
          </w:p>
        </w:tc>
      </w:tr>
      <w:tr>
        <w:trPr/>
        <w:tc>
          <w:tcPr>
            <w:tcW w:w="36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portion of operating lease liabilities</w:t>
            </w:r>
          </w:p>
        </w:tc>
        <w:tc>
          <w:tcPr>
            <w:tcW w:w="146"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w:t>
            </w:r>
          </w:p>
        </w:tc>
        <w:tc>
          <w:tcPr>
            <w:tcW w:w="391" w:type="dxa"/>
            <w:tcBorders/>
            <w:shd w:fill="FFFFFF" w:val="clear"/>
            <w:vAlign w:val="center"/>
          </w:tcPr>
          <w:p>
            <w:pPr>
              <w:pStyle w:val="TableContents"/>
              <w:bidi w:val="0"/>
              <w:spacing w:before="0" w:after="283"/>
              <w:jc w:val="left"/>
              <w:rPr/>
            </w:pPr>
            <w:r>
              <w:rPr/>
              <w:t> </w:t>
            </w:r>
          </w:p>
        </w:tc>
      </w:tr>
      <w:tr>
        <w:trPr/>
        <w:tc>
          <w:tcPr>
            <w:tcW w:w="36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5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9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5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6. Debt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December 29, 2022, the Company entered into a second amendment to its existing senior secured revolving credit facility with a syndicate of lenders with Wells Fargo Bank, National Association, serving as the administrative agent (as amended, the “Credit Facility”). The second amendment amends certain terms, provisions and covenants of the Credit Facility, including, among other things: (i) replaces London Interbank Offered Rate ("LIBOR") with Secured Overnight Financing Rate ("SOFR") as the interest rate benchmark with the existing applicable margin plus a credit spread adjustment of 0.10% per annum; (ii) modifies certain reporting obligations with respect to the Company’s share repurchase program; and (iii) increases the sublimit for U.S. letters of credit to $20</w:t>
      </w:r>
      <w:r>
        <w:rPr>
          <w:rFonts w:ascii="Times New Roman" w:hAnsi="Times New Roman"/>
          <w:color w:val="000000"/>
          <w:sz w:val="20"/>
        </w:rPr>
        <w:t xml:space="preserve"> </w:t>
      </w:r>
      <w:r>
        <w:rPr>
          <w:rFonts w:ascii="Times New Roman" w:hAnsi="Times New Roman"/>
          <w:b w:val="false"/>
          <w:color w:val="000000"/>
          <w:sz w:val="20"/>
        </w:rPr>
        <w:t>million.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Credit Facility provides for a $500</w:t>
      </w:r>
      <w:r>
        <w:rPr>
          <w:rFonts w:ascii="Times New Roman" w:hAnsi="Times New Roman"/>
          <w:color w:val="000000"/>
          <w:sz w:val="20"/>
        </w:rPr>
        <w:t xml:space="preserve"> </w:t>
      </w:r>
      <w:r>
        <w:rPr>
          <w:rFonts w:ascii="Times New Roman" w:hAnsi="Times New Roman"/>
          <w:b w:val="false"/>
          <w:color w:val="000000"/>
          <w:sz w:val="20"/>
        </w:rPr>
        <w:t>million global revolving credit facility, of which up to $50</w:t>
      </w:r>
      <w:r>
        <w:rPr>
          <w:rFonts w:ascii="Times New Roman" w:hAnsi="Times New Roman"/>
          <w:color w:val="000000"/>
          <w:sz w:val="20"/>
        </w:rPr>
        <w:t xml:space="preserve"> </w:t>
      </w:r>
      <w:r>
        <w:rPr>
          <w:rFonts w:ascii="Times New Roman" w:hAnsi="Times New Roman"/>
          <w:b w:val="false"/>
          <w:color w:val="000000"/>
          <w:sz w:val="20"/>
        </w:rPr>
        <w:t>million is available for the Company’s Canadian subsidiaries. The Company has the right, subject to certain conditions, to increase the aggregate principal amount of commitments under the credit facility by $250</w:t>
      </w:r>
      <w:r>
        <w:rPr>
          <w:rFonts w:ascii="Times New Roman" w:hAnsi="Times New Roman"/>
          <w:color w:val="000000"/>
          <w:sz w:val="20"/>
        </w:rPr>
        <w:t xml:space="preserve"> </w:t>
      </w:r>
      <w:r>
        <w:rPr>
          <w:rFonts w:ascii="Times New Roman" w:hAnsi="Times New Roman"/>
          <w:b w:val="false"/>
          <w:color w:val="000000"/>
          <w:sz w:val="20"/>
        </w:rPr>
        <w:t>million. The Credit Facility also provides a letter of credit sub-facility of $25</w:t>
      </w:r>
      <w:r>
        <w:rPr>
          <w:rFonts w:ascii="Times New Roman" w:hAnsi="Times New Roman"/>
          <w:color w:val="000000"/>
          <w:sz w:val="20"/>
        </w:rPr>
        <w:t xml:space="preserve"> </w:t>
      </w:r>
      <w:r>
        <w:rPr>
          <w:rFonts w:ascii="Times New Roman" w:hAnsi="Times New Roman"/>
          <w:b w:val="false"/>
          <w:color w:val="000000"/>
          <w:sz w:val="20"/>
        </w:rPr>
        <w:t>million. The obligations under the Credit Facility are secured by substantially all the assets of the Company and its subsidiaries. The Credit Facility matures on December 14, 2026 and contains customary covenants, representations and warranties and events of default. The Company will be required to maintain a fixed charge coverage ratio (as defined in the Credit Facility) of at least 1.00:1.00 as of the end of each fiscal quarter if excess availability under the Credit Facility falls below the greater of 10% of the borrowing base or $40</w:t>
      </w:r>
      <w:r>
        <w:rPr>
          <w:rFonts w:ascii="Times New Roman" w:hAnsi="Times New Roman"/>
          <w:color w:val="000000"/>
          <w:sz w:val="20"/>
        </w:rPr>
        <w:t xml:space="preserve"> </w:t>
      </w:r>
      <w:r>
        <w:rPr>
          <w:rFonts w:ascii="Times New Roman" w:hAnsi="Times New Roman"/>
          <w:b w:val="false"/>
          <w:color w:val="000000"/>
          <w:sz w:val="20"/>
        </w:rPr>
        <w:t>million.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Borrowings under the Credit Facility will bear an interest rate at the Company’s option, (i) for borrowings denominated in U.S. dollars, at (a) the base rate plus the applicable margin or (b) adjusted term SOFR for the applicable interest period, plus the applicable margin and (ii) for borrowings denominated in Canadian dollars, the Canadian Dollar Offered Rate plus the applicable margin. In each case, with such applicable margin being based on the Company’s fixed charge coverage ratio. The Credit Facility includes a commitment fee on the unused portion of commitments that ranges from 25</w:t>
      </w:r>
      <w:r>
        <w:rPr>
          <w:rFonts w:ascii="Times New Roman" w:hAnsi="Times New Roman"/>
          <w:color w:val="000000"/>
          <w:sz w:val="20"/>
        </w:rPr>
        <w:t xml:space="preserve"> </w:t>
      </w:r>
      <w:r>
        <w:rPr>
          <w:rFonts w:ascii="Times New Roman" w:hAnsi="Times New Roman"/>
          <w:b w:val="false"/>
          <w:color w:val="000000"/>
          <w:sz w:val="20"/>
        </w:rPr>
        <w:t>to 37.5</w:t>
      </w:r>
      <w:r>
        <w:rPr>
          <w:rFonts w:ascii="Times New Roman" w:hAnsi="Times New Roman"/>
          <w:color w:val="000000"/>
          <w:sz w:val="20"/>
        </w:rPr>
        <w:t xml:space="preserve"> </w:t>
      </w:r>
      <w:r>
        <w:rPr>
          <w:rFonts w:ascii="Times New Roman" w:hAnsi="Times New Roman"/>
          <w:b w:val="false"/>
          <w:color w:val="000000"/>
          <w:sz w:val="20"/>
        </w:rPr>
        <w:t>basis points. Commitment fees incurred during the period were included in other income (expense) in the consolidated statements of operations.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Availability under the Credit Facility is determined by a borrowing base comprised of eligible receivables, eligible inventory and certain cash deposits in the U.S. and Canada. As of September 30, 2023, the Company had no</w:t>
      </w:r>
      <w:r>
        <w:rPr>
          <w:rFonts w:ascii="Times New Roman" w:hAnsi="Times New Roman"/>
          <w:color w:val="000000"/>
          <w:sz w:val="20"/>
        </w:rPr>
        <w:t xml:space="preserve"> </w:t>
      </w:r>
      <w:r>
        <w:rPr>
          <w:rFonts w:ascii="Times New Roman" w:hAnsi="Times New Roman"/>
          <w:b w:val="false"/>
          <w:color w:val="000000"/>
          <w:sz w:val="20"/>
        </w:rPr>
        <w:t>borrowings against the Credit Facility and approximately $478</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in availability (as defined in the Credit Facility) resulting in the excess availability (as defined in the Credit Facility) of 99%, subject to certain limitations. The Company is not obligated to pay back borrowings against the current Credit Facility until the maturity date of the Credit Facility.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issued $5</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in letters of credit under the Credit Facility primarily for casualty insurance expiring in June 2024.</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10</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 Stockholders’ Equity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Share Repurchase Program</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August 3, 2022, the Company’s Board of Directors approved a share repurchase program, under which the Company is authorized to purchase up to $80</w:t>
      </w:r>
      <w:r>
        <w:rPr>
          <w:rFonts w:ascii="Times New Roman" w:hAnsi="Times New Roman"/>
          <w:color w:val="000000"/>
          <w:sz w:val="20"/>
        </w:rPr>
        <w:t xml:space="preserve"> </w:t>
      </w:r>
      <w:r>
        <w:rPr>
          <w:rFonts w:ascii="Times New Roman" w:hAnsi="Times New Roman"/>
          <w:b w:val="false"/>
          <w:color w:val="000000"/>
          <w:sz w:val="20"/>
        </w:rPr>
        <w:t>million of its outstanding common stock through December 31, 2024. Under this program, the Company may from time to time repurchase common stock in open market transactions or enter into Rule 10b5-1 trading plans to facilitate the repurchase of its common stock pursuant to its share repurchase program. The amount and timing of any repurchases will depend on several factors, including share price, general business and market conditions, and alternative capital allocation opportunities. All shares repurchased shall be retired pursuant to the terms of the share repurchase program. Depending on the timing of the retirement and cash settlement of the repurchased shares, the Company could have shares held in treasury stock until settled. Share repurchases made after December 31, 2022, are subject to a 1% excise tax, as enacted under the Inflation Reduction Act of 2022. The impact of this 1% excise tax was less than $1</w:t>
      </w:r>
      <w:r>
        <w:rPr>
          <w:rFonts w:ascii="Times New Roman" w:hAnsi="Times New Roman"/>
          <w:color w:val="000000"/>
          <w:sz w:val="20"/>
        </w:rPr>
        <w:t xml:space="preserve"> </w:t>
      </w:r>
      <w:r>
        <w:rPr>
          <w:rFonts w:ascii="Times New Roman" w:hAnsi="Times New Roman"/>
          <w:b w:val="false"/>
          <w:color w:val="000000"/>
          <w:sz w:val="20"/>
        </w:rPr>
        <w:t>million during the nine months ended September 30, 2023.</w:t>
      </w:r>
      <w:r>
        <w:rPr>
          <w:rFonts w:ascii="Times New Roman" w:hAnsi="Times New Roman"/>
          <w:color w:val="000000"/>
          <w:sz w:val="20"/>
        </w:rPr>
        <w:t xml:space="preserve"> </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Information regarding the shares repurchased was as follows:</w:t>
      </w:r>
    </w:p>
    <w:tbl>
      <w:tblPr>
        <w:tblW w:w="10160" w:type="dxa"/>
        <w:jc w:val="left"/>
        <w:tblInd w:w="0" w:type="dxa"/>
        <w:tblLayout w:type="fixed"/>
        <w:tblCellMar>
          <w:top w:w="28" w:type="dxa"/>
          <w:left w:w="28" w:type="dxa"/>
          <w:bottom w:w="28" w:type="dxa"/>
          <w:right w:w="28" w:type="dxa"/>
        </w:tblCellMar>
      </w:tblPr>
      <w:tblGrid>
        <w:gridCol w:w="3736"/>
        <w:gridCol w:w="246"/>
        <w:gridCol w:w="268"/>
        <w:gridCol w:w="993"/>
        <w:gridCol w:w="185"/>
        <w:gridCol w:w="185"/>
        <w:gridCol w:w="268"/>
        <w:gridCol w:w="993"/>
        <w:gridCol w:w="146"/>
        <w:gridCol w:w="146"/>
        <w:gridCol w:w="244"/>
        <w:gridCol w:w="1076"/>
        <w:gridCol w:w="168"/>
        <w:gridCol w:w="168"/>
        <w:gridCol w:w="244"/>
        <w:gridCol w:w="903"/>
        <w:gridCol w:w="191"/>
      </w:tblGrid>
      <w:tr>
        <w:trPr/>
        <w:tc>
          <w:tcPr>
            <w:tcW w:w="37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8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0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center"/>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vAlign w:val="center"/>
          </w:tcPr>
          <w:p>
            <w:pPr>
              <w:pStyle w:val="TableContents"/>
              <w:bidi w:val="0"/>
              <w:spacing w:before="0" w:after="283"/>
              <w:jc w:val="center"/>
              <w:rPr/>
            </w:pPr>
            <w:r>
              <w:rPr/>
              <w:t> </w:t>
            </w:r>
          </w:p>
        </w:tc>
        <w:tc>
          <w:tcPr>
            <w:tcW w:w="11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Total cost of shares repurchased </w:t>
            </w:r>
            <w:r>
              <w:rPr>
                <w:rFonts w:ascii="Times New Roman" w:hAnsi="Times New Roman"/>
                <w:b w:val="false"/>
                <w:i/>
                <w:color w:val="000000"/>
                <w:sz w:val="20"/>
              </w:rPr>
              <w:t>(in millions)</w:t>
            </w:r>
          </w:p>
        </w:tc>
        <w:tc>
          <w:tcPr>
            <w:tcW w:w="2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c>
          <w:tcPr>
            <w:tcW w:w="185"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right"/>
              <w:rPr/>
            </w:pPr>
            <w:r>
              <w:rPr/>
              <w:t> </w:t>
            </w:r>
          </w:p>
        </w:tc>
        <w:tc>
          <w:tcPr>
            <w:tcW w:w="26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w:t>
            </w:r>
          </w:p>
        </w:tc>
        <w:tc>
          <w:tcPr>
            <w:tcW w:w="168"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right"/>
              <w:rPr/>
            </w:pPr>
            <w:r>
              <w:rPr/>
              <w:t> </w:t>
            </w:r>
          </w:p>
        </w:tc>
        <w:tc>
          <w:tcPr>
            <w:tcW w:w="24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191" w:type="dxa"/>
            <w:tcBorders/>
            <w:shd w:fill="CFF0FC" w:val="clear"/>
            <w:vAlign w:val="center"/>
          </w:tcPr>
          <w:p>
            <w:pPr>
              <w:pStyle w:val="TableContents"/>
              <w:bidi w:val="0"/>
              <w:spacing w:before="0" w:after="283"/>
              <w:jc w:val="left"/>
              <w:rPr/>
            </w:pPr>
            <w:r>
              <w:rPr/>
              <w:t> </w:t>
            </w:r>
          </w:p>
        </w:tc>
      </w:tr>
      <w:tr>
        <w:trPr/>
        <w:tc>
          <w:tcPr>
            <w:tcW w:w="373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Average price per share </w:t>
            </w:r>
            <w:r>
              <w:rPr>
                <w:rFonts w:ascii="Times New Roman" w:hAnsi="Times New Roman"/>
                <w:b w:val="false"/>
                <w:color w:val="000000"/>
                <w:sz w:val="13"/>
              </w:rPr>
              <w:t>(1)</w:t>
            </w:r>
          </w:p>
        </w:tc>
        <w:tc>
          <w:tcPr>
            <w:tcW w:w="2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10.65</w:t>
            </w:r>
          </w:p>
        </w:tc>
        <w:tc>
          <w:tcPr>
            <w:tcW w:w="18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right"/>
              <w:rPr/>
            </w:pPr>
            <w:r>
              <w:rPr/>
              <w:t> </w:t>
            </w:r>
          </w:p>
        </w:tc>
        <w:tc>
          <w:tcPr>
            <w:tcW w:w="26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10.78</w:t>
            </w:r>
          </w:p>
        </w:tc>
        <w:tc>
          <w:tcPr>
            <w:tcW w:w="168"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right"/>
              <w:rPr/>
            </w:pPr>
            <w:r>
              <w:rPr/>
              <w:t> </w:t>
            </w:r>
          </w:p>
        </w:tc>
        <w:tc>
          <w:tcPr>
            <w:tcW w:w="24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10.33</w:t>
            </w:r>
          </w:p>
        </w:tc>
        <w:tc>
          <w:tcPr>
            <w:tcW w:w="191" w:type="dxa"/>
            <w:tcBorders/>
            <w:shd w:fill="FFFFFF" w:val="clear"/>
            <w:vAlign w:val="center"/>
          </w:tcPr>
          <w:p>
            <w:pPr>
              <w:pStyle w:val="TableContents"/>
              <w:bidi w:val="0"/>
              <w:spacing w:before="0" w:after="283"/>
              <w:jc w:val="left"/>
              <w:rPr/>
            </w:pPr>
            <w:r>
              <w:rPr/>
              <w:t> </w:t>
            </w:r>
          </w:p>
        </w:tc>
      </w:tr>
      <w:tr>
        <w:trPr/>
        <w:tc>
          <w:tcPr>
            <w:tcW w:w="3736"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Number of shares repurchased</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9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429,622</w:t>
            </w:r>
          </w:p>
        </w:tc>
        <w:tc>
          <w:tcPr>
            <w:tcW w:w="185"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right"/>
              <w:rPr/>
            </w:pPr>
            <w:r>
              <w:rPr/>
              <w:t> </w:t>
            </w:r>
          </w:p>
        </w:tc>
        <w:tc>
          <w:tcPr>
            <w:tcW w:w="268" w:type="dxa"/>
            <w:tcBorders/>
            <w:shd w:fill="CFF0FC" w:val="clear"/>
            <w:vAlign w:val="center"/>
          </w:tcPr>
          <w:p>
            <w:pPr>
              <w:pStyle w:val="TableContents"/>
              <w:bidi w:val="0"/>
              <w:spacing w:before="0" w:after="283"/>
              <w:jc w:val="left"/>
              <w:rPr/>
            </w:pPr>
            <w:r>
              <w:rPr/>
              <w:t> </w:t>
            </w:r>
          </w:p>
        </w:tc>
        <w:tc>
          <w:tcPr>
            <w:tcW w:w="99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376,838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4" w:type="dxa"/>
            <w:tcBorders/>
            <w:shd w:fill="CFF0FC" w:val="clear"/>
            <w:vAlign w:val="center"/>
          </w:tcPr>
          <w:p>
            <w:pPr>
              <w:pStyle w:val="TableContents"/>
              <w:bidi w:val="0"/>
              <w:spacing w:before="0" w:after="283"/>
              <w:jc w:val="left"/>
              <w:rPr/>
            </w:pPr>
            <w:r>
              <w:rPr/>
              <w:t> </w:t>
            </w:r>
          </w:p>
        </w:tc>
        <w:tc>
          <w:tcPr>
            <w:tcW w:w="10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4,456,172</w:t>
            </w:r>
          </w:p>
        </w:tc>
        <w:tc>
          <w:tcPr>
            <w:tcW w:w="168"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right"/>
              <w:rPr/>
            </w:pPr>
            <w:r>
              <w:rPr/>
              <w:t> </w:t>
            </w:r>
          </w:p>
        </w:tc>
        <w:tc>
          <w:tcPr>
            <w:tcW w:w="244"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376,838</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val="false"/>
          <w:color w:val="000000"/>
          <w:sz w:val="18"/>
        </w:rPr>
      </w:pPr>
      <w:r>
        <w:rPr>
          <w:rFonts w:ascii="Times New Roman" w:hAnsi="Times New Roman"/>
          <w:b w:val="false"/>
          <w:color w:val="000000"/>
          <w:sz w:val="18"/>
        </w:rPr>
        <w:t>(1)</w:t>
      </w:r>
    </w:p>
    <w:p>
      <w:pPr>
        <w:pStyle w:val="TextBody"/>
        <w:bidi w:val="0"/>
        <w:spacing w:before="120" w:after="283"/>
        <w:jc w:val="left"/>
        <w:rPr>
          <w:rFonts w:ascii="Times New Roman" w:hAnsi="Times New Roman"/>
          <w:b w:val="false"/>
          <w:color w:val="000000"/>
          <w:sz w:val="19"/>
        </w:rPr>
      </w:pPr>
      <w:r>
        <w:rPr>
          <w:rFonts w:ascii="Times New Roman" w:hAnsi="Times New Roman"/>
          <w:b w:val="false"/>
          <w:color w:val="000000"/>
          <w:sz w:val="19"/>
        </w:rPr>
        <w:t>Excludes 1% excise tax on share repurchases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Consolidated Variable Interest Entities ("VIE")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holds a 49% interest in one VIE located in the Middle East. The Company is the primary beneficiary and consolidates the VIE as it has the power to direct the activities that most significantly affect the VIE’s economic performance and has the obligation to absorb the VIE’s losses or the right to receive benefits. For the three and nine months ended September 30, 2023, net income attributable to noncontrolling interest was less than $1</w:t>
      </w:r>
      <w:r>
        <w:rPr>
          <w:rFonts w:ascii="Times New Roman" w:hAnsi="Times New Roman"/>
          <w:color w:val="000000"/>
          <w:sz w:val="20"/>
        </w:rPr>
        <w:t xml:space="preserve"> </w:t>
      </w:r>
      <w:r>
        <w:rPr>
          <w:rFonts w:ascii="Times New Roman" w:hAnsi="Times New Roman"/>
          <w:b w:val="false"/>
          <w:color w:val="000000"/>
          <w:sz w:val="20"/>
        </w:rPr>
        <w:t>million and $1</w:t>
      </w:r>
      <w:r>
        <w:rPr>
          <w:rFonts w:ascii="Times New Roman" w:hAnsi="Times New Roman"/>
          <w:color w:val="000000"/>
          <w:sz w:val="20"/>
        </w:rPr>
        <w:t xml:space="preserve"> </w:t>
      </w:r>
      <w:r>
        <w:rPr>
          <w:rFonts w:ascii="Times New Roman" w:hAnsi="Times New Roman"/>
          <w:b w:val="false"/>
          <w:color w:val="000000"/>
          <w:sz w:val="20"/>
        </w:rPr>
        <w:t>million, respectively, compared to approximately $1</w:t>
      </w:r>
      <w:r>
        <w:rPr>
          <w:rFonts w:ascii="Times New Roman" w:hAnsi="Times New Roman"/>
          <w:color w:val="000000"/>
          <w:sz w:val="20"/>
        </w:rPr>
        <w:t xml:space="preserve"> </w:t>
      </w:r>
      <w:r>
        <w:rPr>
          <w:rFonts w:ascii="Times New Roman" w:hAnsi="Times New Roman"/>
          <w:b w:val="false"/>
          <w:color w:val="000000"/>
          <w:sz w:val="20"/>
        </w:rPr>
        <w:t>million in both periods for the corresponding periods of 2022.</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assets of the VIE can only be used to settle its own obligations and its creditors have no recourse to the Company’s assets. As of September 30, 2023 and December 31, 2022, the VIE’s assets were primarily current assets of $24</w:t>
      </w:r>
      <w:r>
        <w:rPr>
          <w:rFonts w:ascii="Times New Roman" w:hAnsi="Times New Roman"/>
          <w:color w:val="000000"/>
          <w:sz w:val="20"/>
        </w:rPr>
        <w:t xml:space="preserve"> </w:t>
      </w:r>
      <w:r>
        <w:rPr>
          <w:rFonts w:ascii="Times New Roman" w:hAnsi="Times New Roman"/>
          <w:b w:val="false"/>
          <w:color w:val="000000"/>
          <w:sz w:val="20"/>
        </w:rPr>
        <w:t>million and $11</w:t>
      </w:r>
      <w:r>
        <w:rPr>
          <w:rFonts w:ascii="Times New Roman" w:hAnsi="Times New Roman"/>
          <w:color w:val="000000"/>
          <w:sz w:val="20"/>
        </w:rPr>
        <w:t xml:space="preserve"> </w:t>
      </w:r>
      <w:r>
        <w:rPr>
          <w:rFonts w:ascii="Times New Roman" w:hAnsi="Times New Roman"/>
          <w:b w:val="false"/>
          <w:color w:val="000000"/>
          <w:sz w:val="20"/>
        </w:rPr>
        <w:t>million, respectively, and the liabilities were primarily current liabilities of $9</w:t>
      </w:r>
      <w:r>
        <w:rPr>
          <w:rFonts w:ascii="Times New Roman" w:hAnsi="Times New Roman"/>
          <w:color w:val="000000"/>
          <w:sz w:val="20"/>
        </w:rPr>
        <w:t xml:space="preserve"> </w:t>
      </w:r>
      <w:r>
        <w:rPr>
          <w:rFonts w:ascii="Times New Roman" w:hAnsi="Times New Roman"/>
          <w:b w:val="false"/>
          <w:color w:val="000000"/>
          <w:sz w:val="20"/>
        </w:rPr>
        <w:t>million and $3</w:t>
      </w:r>
      <w:r>
        <w:rPr>
          <w:rFonts w:ascii="Times New Roman" w:hAnsi="Times New Roman"/>
          <w:color w:val="000000"/>
          <w:sz w:val="20"/>
        </w:rPr>
        <w:t xml:space="preserve"> </w:t>
      </w:r>
      <w:r>
        <w:rPr>
          <w:rFonts w:ascii="Times New Roman" w:hAnsi="Times New Roman"/>
          <w:b w:val="false"/>
          <w:color w:val="000000"/>
          <w:sz w:val="20"/>
        </w:rPr>
        <w:t>million, respectively.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8. Accumulated Other Comprehensive Income (Loss) ("AOCI")</w:t>
      </w:r>
    </w:p>
    <w:p>
      <w:pPr>
        <w:pStyle w:val="TextBody"/>
        <w:bidi w:val="0"/>
        <w:spacing w:before="120" w:after="240"/>
        <w:jc w:val="left"/>
        <w:rPr>
          <w:rFonts w:ascii="Times New Roman" w:hAnsi="Times New Roman"/>
          <w:sz w:val="20"/>
        </w:rPr>
      </w:pPr>
      <w:r>
        <w:rPr>
          <w:rFonts w:ascii="Times New Roman" w:hAnsi="Times New Roman"/>
          <w:b w:val="false"/>
          <w:color w:val="000000"/>
          <w:sz w:val="20"/>
        </w:rPr>
        <w:t xml:space="preserve">The components of AOCI are as follows </w:t>
      </w:r>
      <w:r>
        <w:rPr>
          <w:rFonts w:ascii="Times New Roman" w:hAnsi="Times New Roman"/>
          <w:b w:val="false"/>
          <w:i/>
          <w:color w:val="000000"/>
          <w:sz w:val="20"/>
        </w:rPr>
        <w:t>(in millions)</w:t>
      </w:r>
      <w:r>
        <w:rPr>
          <w:rFonts w:ascii="Times New Roman" w:hAnsi="Times New Roman"/>
          <w:b w:val="false"/>
          <w:color w:val="000000"/>
          <w:sz w:val="20"/>
        </w:rPr>
        <w:t>:</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6238"/>
        <w:gridCol w:w="146"/>
        <w:gridCol w:w="424"/>
        <w:gridCol w:w="966"/>
        <w:gridCol w:w="333"/>
        <w:gridCol w:w="293"/>
        <w:gridCol w:w="424"/>
        <w:gridCol w:w="966"/>
        <w:gridCol w:w="415"/>
      </w:tblGrid>
      <w:tr>
        <w:trPr/>
        <w:tc>
          <w:tcPr>
            <w:tcW w:w="62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623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Foreign Currency Translation Adjustments</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3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3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3" w:type="dxa"/>
            <w:tcBorders/>
            <w:shd w:fill="FFFFFF" w:val="clear"/>
            <w:vAlign w:val="center"/>
          </w:tcPr>
          <w:p>
            <w:pPr>
              <w:pStyle w:val="TableContents"/>
              <w:bidi w:val="0"/>
              <w:spacing w:before="0" w:after="283"/>
              <w:jc w:val="center"/>
              <w:rPr/>
            </w:pPr>
            <w:r>
              <w:rPr/>
              <w:t> </w:t>
            </w:r>
          </w:p>
        </w:tc>
        <w:tc>
          <w:tcPr>
            <w:tcW w:w="13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3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Beginning balance</w:t>
            </w:r>
          </w:p>
        </w:tc>
        <w:tc>
          <w:tcPr>
            <w:tcW w:w="146" w:type="dxa"/>
            <w:tcBorders/>
            <w:shd w:fill="CFF0FC" w:val="clear"/>
            <w:vAlign w:val="center"/>
          </w:tcPr>
          <w:p>
            <w:pPr>
              <w:pStyle w:val="TableContents"/>
              <w:bidi w:val="0"/>
              <w:spacing w:before="0" w:after="283"/>
              <w:jc w:val="left"/>
              <w:rPr/>
            </w:pPr>
            <w:r>
              <w:rPr/>
              <w:t> </w:t>
            </w:r>
          </w:p>
        </w:tc>
        <w:tc>
          <w:tcPr>
            <w:tcW w:w="42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w:t>
            </w:r>
          </w:p>
        </w:tc>
        <w:tc>
          <w:tcPr>
            <w:tcW w:w="33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93" w:type="dxa"/>
            <w:tcBorders/>
            <w:shd w:fill="CFF0FC" w:val="clear"/>
            <w:vAlign w:val="center"/>
          </w:tcPr>
          <w:p>
            <w:pPr>
              <w:pStyle w:val="TableContents"/>
              <w:bidi w:val="0"/>
              <w:spacing w:before="0" w:after="283"/>
              <w:jc w:val="right"/>
              <w:rPr/>
            </w:pPr>
            <w:r>
              <w:rPr/>
              <w:t> </w:t>
            </w:r>
          </w:p>
        </w:tc>
        <w:tc>
          <w:tcPr>
            <w:tcW w:w="42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w:t>
            </w:r>
          </w:p>
        </w:tc>
        <w:tc>
          <w:tcPr>
            <w:tcW w:w="415"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238"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comprehensive income (loss) before reclassifications</w:t>
            </w:r>
          </w:p>
        </w:tc>
        <w:tc>
          <w:tcPr>
            <w:tcW w:w="146" w:type="dxa"/>
            <w:tcBorders/>
            <w:shd w:fill="FFFFFF" w:val="clear"/>
            <w:vAlign w:val="center"/>
          </w:tcPr>
          <w:p>
            <w:pPr>
              <w:pStyle w:val="TableContents"/>
              <w:bidi w:val="0"/>
              <w:spacing w:before="0" w:after="283"/>
              <w:jc w:val="left"/>
              <w:rPr/>
            </w:pPr>
            <w:r>
              <w:rPr/>
              <w:t> </w:t>
            </w:r>
          </w:p>
        </w:tc>
        <w:tc>
          <w:tcPr>
            <w:tcW w:w="424"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color w:val="000000"/>
              </w:rPr>
            </w:pPr>
            <w:r>
              <w:rPr>
                <w:color w:val="000000"/>
              </w:rPr>
              <w:t>—</w:t>
            </w:r>
          </w:p>
        </w:tc>
        <w:tc>
          <w:tcPr>
            <w:tcW w:w="333"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right"/>
              <w:rPr/>
            </w:pPr>
            <w:r>
              <w:rPr/>
              <w:t> </w:t>
            </w:r>
          </w:p>
        </w:tc>
        <w:tc>
          <w:tcPr>
            <w:tcW w:w="424"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w:t>
            </w:r>
          </w:p>
        </w:tc>
        <w:tc>
          <w:tcPr>
            <w:tcW w:w="415"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238"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Amounts reclassified from accumulated other comprehensive income (loss)</w:t>
            </w:r>
          </w:p>
        </w:tc>
        <w:tc>
          <w:tcPr>
            <w:tcW w:w="146" w:type="dxa"/>
            <w:tcBorders/>
            <w:shd w:fill="CFF0FC" w:val="clear"/>
            <w:vAlign w:val="center"/>
          </w:tcPr>
          <w:p>
            <w:pPr>
              <w:pStyle w:val="TableContents"/>
              <w:bidi w:val="0"/>
              <w:spacing w:before="0" w:after="283"/>
              <w:jc w:val="left"/>
              <w:rPr/>
            </w:pPr>
            <w:r>
              <w:rPr/>
              <w:t> </w:t>
            </w:r>
          </w:p>
        </w:tc>
        <w:tc>
          <w:tcPr>
            <w:tcW w:w="4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3" w:type="dxa"/>
            <w:tcBorders/>
            <w:shd w:fill="CFF0FC" w:val="clear"/>
            <w:vAlign w:val="center"/>
          </w:tcPr>
          <w:p>
            <w:pPr>
              <w:pStyle w:val="TableContents"/>
              <w:bidi w:val="0"/>
              <w:spacing w:before="0" w:after="283"/>
              <w:jc w:val="right"/>
              <w:rPr/>
            </w:pPr>
            <w:r>
              <w:rPr/>
              <w:t> </w:t>
            </w:r>
          </w:p>
        </w:tc>
        <w:tc>
          <w:tcPr>
            <w:tcW w:w="4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3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current-period other comprehensive income</w:t>
            </w:r>
          </w:p>
        </w:tc>
        <w:tc>
          <w:tcPr>
            <w:tcW w:w="146" w:type="dxa"/>
            <w:tcBorders/>
            <w:shd w:fill="FFFFFF" w:val="clear"/>
            <w:vAlign w:val="center"/>
          </w:tcPr>
          <w:p>
            <w:pPr>
              <w:pStyle w:val="TableContents"/>
              <w:bidi w:val="0"/>
              <w:spacing w:before="0" w:after="283"/>
              <w:jc w:val="left"/>
              <w:rPr/>
            </w:pPr>
            <w:r>
              <w:rPr/>
              <w:t> </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right"/>
              <w:rPr/>
            </w:pPr>
            <w:r>
              <w:rPr/>
              <w:t> </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23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Ending balance</w:t>
            </w:r>
          </w:p>
        </w:tc>
        <w:tc>
          <w:tcPr>
            <w:tcW w:w="146" w:type="dxa"/>
            <w:tcBorders/>
            <w:shd w:fill="CFF0FC" w:val="clear"/>
            <w:vAlign w:val="center"/>
          </w:tcPr>
          <w:p>
            <w:pPr>
              <w:pStyle w:val="TableContents"/>
              <w:bidi w:val="0"/>
              <w:spacing w:before="0" w:after="283"/>
              <w:jc w:val="left"/>
              <w:rPr/>
            </w:pPr>
            <w:r>
              <w:rPr/>
              <w:t> </w:t>
            </w:r>
          </w:p>
        </w:tc>
        <w:tc>
          <w:tcPr>
            <w:tcW w:w="4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w:t>
            </w:r>
          </w:p>
        </w:tc>
        <w:tc>
          <w:tcPr>
            <w:tcW w:w="3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93" w:type="dxa"/>
            <w:tcBorders/>
            <w:shd w:fill="CFF0FC" w:val="clear"/>
            <w:vAlign w:val="center"/>
          </w:tcPr>
          <w:p>
            <w:pPr>
              <w:pStyle w:val="TableContents"/>
              <w:bidi w:val="0"/>
              <w:spacing w:before="0" w:after="283"/>
              <w:jc w:val="right"/>
              <w:rPr/>
            </w:pPr>
            <w:r>
              <w:rPr/>
              <w:t> </w:t>
            </w:r>
          </w:p>
        </w:tc>
        <w:tc>
          <w:tcPr>
            <w:tcW w:w="4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Company’s reporting currency is the U.S. dollar. A majority of the Company’s international entities in which there is a substantial investment have the local currency as their functional currency. As a result, foreign currency translation adjustments resulting from the process of translating the entities’ financial statements into the reporting currency are reported in other comprehensive income or loss in accordance with ASC Topic 830, “Foreign Currency Matters.”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For the nine months ended September 30, 2022, the Company reclassified $10</w:t>
      </w:r>
      <w:r>
        <w:rPr>
          <w:rFonts w:ascii="Times New Roman" w:hAnsi="Times New Roman"/>
          <w:color w:val="000000"/>
          <w:sz w:val="20"/>
        </w:rPr>
        <w:t xml:space="preserve"> </w:t>
      </w:r>
      <w:r>
        <w:rPr>
          <w:rFonts w:ascii="Times New Roman" w:hAnsi="Times New Roman"/>
          <w:b w:val="false"/>
          <w:color w:val="000000"/>
          <w:sz w:val="20"/>
        </w:rPr>
        <w:t>million of foreign currency translation losses as a result of substantially completing the liquidation of certain foreign subsidiaries in its International segment. Such foreign currency translation losses were reclassified from the component of AOCI into earnings, reflected in impairment and other charges in the consolidated statement of operations.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11</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9. Business Segments</w:t>
      </w:r>
    </w:p>
    <w:p>
      <w:pPr>
        <w:pStyle w:val="TextBody"/>
        <w:bidi w:val="0"/>
        <w:spacing w:before="120" w:after="240"/>
        <w:jc w:val="left"/>
        <w:rPr>
          <w:rFonts w:ascii="Times New Roman" w:hAnsi="Times New Roman"/>
          <w:sz w:val="20"/>
        </w:rPr>
      </w:pPr>
      <w:r>
        <w:rPr>
          <w:rFonts w:ascii="Times New Roman" w:hAnsi="Times New Roman"/>
          <w:b w:val="false"/>
          <w:color w:val="000000"/>
          <w:sz w:val="20"/>
        </w:rPr>
        <w:t xml:space="preserve">Operating results by reportable segment are as follows </w:t>
      </w:r>
      <w:r>
        <w:rPr>
          <w:rFonts w:ascii="Times New Roman" w:hAnsi="Times New Roman"/>
          <w:b w:val="false"/>
          <w:i/>
          <w:color w:val="000000"/>
          <w:sz w:val="20"/>
        </w:rPr>
        <w:t>(in millions)</w:t>
      </w:r>
      <w:r>
        <w:rPr>
          <w:rFonts w:ascii="Times New Roman" w:hAnsi="Times New Roman"/>
          <w:b w:val="false"/>
          <w:color w:val="000000"/>
          <w:sz w:val="20"/>
        </w:rPr>
        <w:t>:</w:t>
      </w:r>
    </w:p>
    <w:tbl>
      <w:tblPr>
        <w:tblW w:w="8735" w:type="dxa"/>
        <w:jc w:val="left"/>
        <w:tblInd w:w="0" w:type="dxa"/>
        <w:tblLayout w:type="fixed"/>
        <w:tblCellMar>
          <w:top w:w="28" w:type="dxa"/>
          <w:left w:w="28" w:type="dxa"/>
          <w:bottom w:w="28" w:type="dxa"/>
          <w:right w:w="28" w:type="dxa"/>
        </w:tblCellMar>
      </w:tblPr>
      <w:tblGrid>
        <w:gridCol w:w="2356"/>
        <w:gridCol w:w="392"/>
        <w:gridCol w:w="783"/>
        <w:gridCol w:w="271"/>
        <w:gridCol w:w="271"/>
        <w:gridCol w:w="392"/>
        <w:gridCol w:w="783"/>
        <w:gridCol w:w="146"/>
        <w:gridCol w:w="146"/>
        <w:gridCol w:w="319"/>
        <w:gridCol w:w="863"/>
        <w:gridCol w:w="220"/>
        <w:gridCol w:w="220"/>
        <w:gridCol w:w="319"/>
        <w:gridCol w:w="863"/>
        <w:gridCol w:w="391"/>
      </w:tblGrid>
      <w:tr>
        <w:trPr/>
        <w:tc>
          <w:tcPr>
            <w:tcW w:w="235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56" w:type="dxa"/>
            <w:tcBorders/>
            <w:shd w:fill="FFFFFF" w:val="clear"/>
            <w:vAlign w:val="center"/>
          </w:tcPr>
          <w:p>
            <w:pPr>
              <w:pStyle w:val="TableContents"/>
              <w:bidi w:val="0"/>
              <w:spacing w:before="0" w:after="283"/>
              <w:jc w:val="left"/>
              <w:rPr/>
            </w:pPr>
            <w:r>
              <w:rPr/>
              <w:t> </w:t>
            </w:r>
          </w:p>
        </w:tc>
        <w:tc>
          <w:tcPr>
            <w:tcW w:w="28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8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FFFFFF" w:val="clear"/>
            <w:vAlign w:val="center"/>
          </w:tcPr>
          <w:p>
            <w:pPr>
              <w:pStyle w:val="TableContents"/>
              <w:bidi w:val="0"/>
              <w:spacing w:before="0" w:after="283"/>
              <w:jc w:val="left"/>
              <w:rPr/>
            </w:pPr>
            <w:r>
              <w:rPr/>
              <w:t> </w:t>
            </w:r>
          </w:p>
        </w:tc>
        <w:tc>
          <w:tcPr>
            <w:tcW w:w="11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1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Revenue:</w:t>
            </w:r>
          </w:p>
        </w:tc>
        <w:tc>
          <w:tcPr>
            <w:tcW w:w="1175" w:type="dxa"/>
            <w:gridSpan w:val="2"/>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17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82" w:type="dxa"/>
            <w:gridSpan w:val="2"/>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1182"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35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United States</w:t>
            </w:r>
          </w:p>
        </w:tc>
        <w:tc>
          <w:tcPr>
            <w:tcW w:w="39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448</w:t>
            </w:r>
          </w:p>
        </w:tc>
        <w:tc>
          <w:tcPr>
            <w:tcW w:w="271"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right"/>
              <w:rPr/>
            </w:pPr>
            <w:r>
              <w:rPr/>
              <w:t> </w:t>
            </w:r>
          </w:p>
        </w:tc>
        <w:tc>
          <w:tcPr>
            <w:tcW w:w="39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1,331</w:t>
            </w:r>
          </w:p>
        </w:tc>
        <w:tc>
          <w:tcPr>
            <w:tcW w:w="22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right"/>
              <w:rPr/>
            </w:pPr>
            <w:r>
              <w:rPr/>
              <w:t> </w:t>
            </w:r>
          </w:p>
        </w:tc>
        <w:tc>
          <w:tcPr>
            <w:tcW w:w="31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1,177</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35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Canada</w:t>
            </w:r>
          </w:p>
        </w:tc>
        <w:tc>
          <w:tcPr>
            <w:tcW w:w="392" w:type="dxa"/>
            <w:tcBorders/>
            <w:shd w:fill="CFF0FC" w:val="clear"/>
            <w:vAlign w:val="center"/>
          </w:tcPr>
          <w:p>
            <w:pPr>
              <w:pStyle w:val="TableContents"/>
              <w:bidi w:val="0"/>
              <w:spacing w:before="0" w:after="283"/>
              <w:jc w:val="left"/>
              <w:rPr/>
            </w:pPr>
            <w:r>
              <w:rPr/>
              <w:t> </w:t>
            </w:r>
          </w:p>
        </w:tc>
        <w:tc>
          <w:tcPr>
            <w:tcW w:w="78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w:t>
            </w:r>
          </w:p>
        </w:tc>
        <w:tc>
          <w:tcPr>
            <w:tcW w:w="271"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right"/>
              <w:rPr/>
            </w:pPr>
            <w:r>
              <w:rPr/>
              <w:t> </w:t>
            </w:r>
          </w:p>
        </w:tc>
        <w:tc>
          <w:tcPr>
            <w:tcW w:w="392" w:type="dxa"/>
            <w:tcBorders/>
            <w:shd w:fill="CFF0FC" w:val="clear"/>
            <w:vAlign w:val="center"/>
          </w:tcPr>
          <w:p>
            <w:pPr>
              <w:pStyle w:val="TableContents"/>
              <w:bidi w:val="0"/>
              <w:spacing w:before="0" w:after="283"/>
              <w:jc w:val="left"/>
              <w:rPr/>
            </w:pPr>
            <w:r>
              <w:rPr/>
              <w:t> </w:t>
            </w:r>
          </w:p>
        </w:tc>
        <w:tc>
          <w:tcPr>
            <w:tcW w:w="78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217</w:t>
            </w:r>
          </w:p>
        </w:tc>
        <w:tc>
          <w:tcPr>
            <w:tcW w:w="220"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right"/>
              <w:rPr/>
            </w:pPr>
            <w:r>
              <w:rPr/>
              <w:t> </w:t>
            </w:r>
          </w:p>
        </w:tc>
        <w:tc>
          <w:tcPr>
            <w:tcW w:w="319"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35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International</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righ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218</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righ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revenue</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588</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right"/>
              <w:rPr/>
            </w:pPr>
            <w:r>
              <w:rPr/>
              <w:t> </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1,766</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righ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profit (loss):</w:t>
            </w:r>
          </w:p>
        </w:tc>
        <w:tc>
          <w:tcPr>
            <w:tcW w:w="1175"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17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220" w:type="dxa"/>
            <w:tcBorders/>
            <w:shd w:fill="FFFFFF" w:val="clear"/>
            <w:vAlign w:val="center"/>
          </w:tcPr>
          <w:p>
            <w:pPr>
              <w:pStyle w:val="TableContents"/>
              <w:bidi w:val="0"/>
              <w:spacing w:before="0" w:after="283"/>
              <w:jc w:val="right"/>
              <w:rPr/>
            </w:pPr>
            <w:r>
              <w:rPr/>
              <w:t> </w:t>
            </w:r>
          </w:p>
        </w:tc>
        <w:tc>
          <w:tcPr>
            <w:tcW w:w="220" w:type="dxa"/>
            <w:tcBorders/>
            <w:shd w:fill="FFFFFF" w:val="clear"/>
            <w:vAlign w:val="center"/>
          </w:tcPr>
          <w:p>
            <w:pPr>
              <w:pStyle w:val="TableContents"/>
              <w:bidi w:val="0"/>
              <w:spacing w:before="0" w:after="283"/>
              <w:jc w:val="righ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235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United States</w:t>
            </w:r>
          </w:p>
        </w:tc>
        <w:tc>
          <w:tcPr>
            <w:tcW w:w="39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w:t>
            </w:r>
          </w:p>
        </w:tc>
        <w:tc>
          <w:tcPr>
            <w:tcW w:w="271"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right"/>
              <w:rPr/>
            </w:pPr>
            <w:r>
              <w:rPr/>
              <w:t> </w:t>
            </w:r>
          </w:p>
        </w:tc>
        <w:tc>
          <w:tcPr>
            <w:tcW w:w="39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w:t>
            </w:r>
          </w:p>
        </w:tc>
        <w:tc>
          <w:tcPr>
            <w:tcW w:w="220"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right"/>
              <w:rPr/>
            </w:pPr>
            <w:r>
              <w:rPr/>
              <w:t> </w:t>
            </w:r>
          </w:p>
        </w:tc>
        <w:tc>
          <w:tcPr>
            <w:tcW w:w="31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35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Canada</w:t>
            </w:r>
          </w:p>
        </w:tc>
        <w:tc>
          <w:tcPr>
            <w:tcW w:w="39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w:t>
            </w:r>
          </w:p>
        </w:tc>
        <w:tc>
          <w:tcPr>
            <w:tcW w:w="271"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right"/>
              <w:rPr/>
            </w:pPr>
            <w:r>
              <w:rPr/>
              <w:t> </w:t>
            </w:r>
          </w:p>
        </w:tc>
        <w:tc>
          <w:tcPr>
            <w:tcW w:w="39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w:t>
            </w:r>
          </w:p>
        </w:tc>
        <w:tc>
          <w:tcPr>
            <w:tcW w:w="22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right"/>
              <w:rPr/>
            </w:pPr>
            <w:r>
              <w:rPr/>
              <w:t> </w:t>
            </w:r>
          </w:p>
        </w:tc>
        <w:tc>
          <w:tcPr>
            <w:tcW w:w="319"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35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International</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righ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righ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3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operating profit (loss)</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right"/>
              <w:rPr/>
            </w:pPr>
            <w:r>
              <w:rPr/>
              <w:t> </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righ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10. Income Taxes</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The effective tax rates for the three and nine months ended September 30, 2023, were 5.4%</w:t>
      </w:r>
      <w:r>
        <w:rPr>
          <w:rFonts w:ascii="Times New Roman" w:hAnsi="Times New Roman"/>
          <w:color w:val="000000"/>
          <w:sz w:val="20"/>
        </w:rPr>
        <w:t xml:space="preserve"> </w:t>
      </w:r>
      <w:r>
        <w:rPr>
          <w:rFonts w:ascii="Times New Roman" w:hAnsi="Times New Roman"/>
          <w:b w:val="false"/>
          <w:color w:val="000000"/>
          <w:sz w:val="20"/>
        </w:rPr>
        <w:t>and 5.6%, respectively, compared to 6.8%</w:t>
      </w:r>
      <w:r>
        <w:rPr>
          <w:rFonts w:ascii="Times New Roman" w:hAnsi="Times New Roman"/>
          <w:color w:val="000000"/>
          <w:sz w:val="20"/>
        </w:rPr>
        <w:t xml:space="preserve"> </w:t>
      </w:r>
      <w:r>
        <w:rPr>
          <w:rFonts w:ascii="Times New Roman" w:hAnsi="Times New Roman"/>
          <w:b w:val="false"/>
          <w:color w:val="000000"/>
          <w:sz w:val="20"/>
        </w:rPr>
        <w:t>and 7.6%, respectively, for the corresponding periods of 2022. In general, the effective tax rate differs from the U.S. statutory rate due to recurring items, such as differing tax rates on income earned in foreign jurisdictions, nondeductible expenses, state income taxes and the change in valuation allowance recorded against deferred tax assets. For the three and nine months ended September 30, 2023, the effective tax rate was primarily driven by the recognition of tax expense from earnings in Canada and the United Kingdom and by current year realization of deferred tax assets and corresponding release of valuation allowance in the U.S. The Company believes that the continued volatility of commodity prices as well as recent macroeconomic developments are likely to cause variations in its estimated ordinary income for the remainder of 2023. These deviations may result in significant increases or decreases in the Company’s forecasted annual effective tax rate. Consequently, the Company is continuing to rely on the discrete-period method for calculating its interim period tax provision for the three and nine months ended September 30, 2023. The Company will evaluate its use of this method each quarter until such time as a return to the annualized estimated effective tax rate method is deemed appropriate.</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The Company is subject to taxation in the U.S., various states, and foreign jurisdictions. The Company has significant operations in the U.S. and Canada and to a lesser extent in various other international jurisdictions. Tax years that remain subject to examination vary by legal entity but are generally open in the U.S. for the tax years ending after 2019 and outside the U.S. for the tax years ending after 2017.</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11. Earnings Per Share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For the three and nine months ended September 30, 2023, approximately 1</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in both periods, of potentially dilutive shares were excluded from the computation of diluted earnings per share due to their antidilutive effect, compared to approximately 2</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3</w:t>
      </w:r>
      <w:r>
        <w:rPr>
          <w:rFonts w:ascii="Times New Roman" w:hAnsi="Times New Roman"/>
          <w:color w:val="000000"/>
          <w:sz w:val="20"/>
        </w:rPr>
        <w:t xml:space="preserve"> </w:t>
      </w:r>
      <w:r>
        <w:rPr>
          <w:rFonts w:ascii="Times New Roman" w:hAnsi="Times New Roman"/>
          <w:b w:val="false"/>
          <w:color w:val="000000"/>
          <w:sz w:val="20"/>
        </w:rPr>
        <w:t>million, respectively, for the corresponding periods of 2022.</w:t>
      </w:r>
    </w:p>
    <w:p>
      <w:pPr>
        <w:pStyle w:val="TextBody"/>
        <w:bidi w:val="0"/>
        <w:spacing w:before="120" w:after="200"/>
        <w:jc w:val="left"/>
        <w:rPr>
          <w:rFonts w:ascii="Times New Roman" w:hAnsi="Times New Roman"/>
          <w:sz w:val="20"/>
        </w:rPr>
      </w:pPr>
      <w:r>
        <w:rPr>
          <w:rFonts w:ascii="Times New Roman" w:hAnsi="Times New Roman"/>
          <w:b w:val="false"/>
          <w:color w:val="000000"/>
          <w:sz w:val="20"/>
        </w:rPr>
        <w:t xml:space="preserve">Basic and diluted earnings per share are as follows </w:t>
      </w:r>
      <w:r>
        <w:rPr>
          <w:rFonts w:ascii="Times New Roman" w:hAnsi="Times New Roman"/>
          <w:b w:val="false"/>
          <w:i/>
          <w:color w:val="000000"/>
          <w:sz w:val="20"/>
        </w:rPr>
        <w:t>(in millions, except share data)</w:t>
      </w:r>
      <w:r>
        <w:rPr>
          <w:rFonts w:ascii="Times New Roman" w:hAnsi="Times New Roman"/>
          <w:b w:val="false"/>
          <w:color w:val="000000"/>
          <w:sz w:val="20"/>
        </w:rPr>
        <w:t>:</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70"/>
        <w:gridCol w:w="211"/>
        <w:gridCol w:w="1141"/>
        <w:gridCol w:w="166"/>
        <w:gridCol w:w="146"/>
        <w:gridCol w:w="211"/>
        <w:gridCol w:w="1141"/>
        <w:gridCol w:w="166"/>
        <w:gridCol w:w="146"/>
        <w:gridCol w:w="211"/>
        <w:gridCol w:w="1141"/>
        <w:gridCol w:w="166"/>
        <w:gridCol w:w="146"/>
        <w:gridCol w:w="211"/>
        <w:gridCol w:w="1141"/>
        <w:gridCol w:w="491"/>
      </w:tblGrid>
      <w:tr>
        <w:trPr/>
        <w:tc>
          <w:tcPr>
            <w:tcW w:w="33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370" w:type="dxa"/>
            <w:tcBorders/>
            <w:shd w:fill="FFFFFF" w:val="cle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0" w:type="dxa"/>
            <w:tcBorders/>
            <w:shd w:fill="FFFFFF" w:val="cle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Numerator:</w:t>
            </w:r>
          </w:p>
        </w:tc>
        <w:tc>
          <w:tcPr>
            <w:tcW w:w="13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491" w:type="dxa"/>
            <w:tcBorders/>
            <w:shd w:fill="CFF0FC" w:val="clear"/>
            <w:vAlign w:val="center"/>
          </w:tcPr>
          <w:p>
            <w:pPr>
              <w:pStyle w:val="TableContents"/>
              <w:bidi w:val="0"/>
              <w:spacing w:before="0" w:after="283"/>
              <w:ind w:left="0" w:right="0" w:firstLine="100"/>
              <w:jc w:val="right"/>
              <w:rPr/>
            </w:pPr>
            <w:r>
              <w:rPr/>
              <w:t> </w:t>
            </w:r>
          </w:p>
        </w:tc>
      </w:tr>
      <w:tr>
        <w:trPr/>
        <w:tc>
          <w:tcPr>
            <w:tcW w:w="3370"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Net income attributable to NOW Inc.</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w:t>
            </w:r>
          </w:p>
        </w:tc>
        <w:tc>
          <w:tcPr>
            <w:tcW w:w="491" w:type="dxa"/>
            <w:tcBorders/>
            <w:shd w:fill="FFFFFF" w:val="clear"/>
            <w:vAlign w:val="center"/>
          </w:tcPr>
          <w:p>
            <w:pPr>
              <w:pStyle w:val="TableContents"/>
              <w:bidi w:val="0"/>
              <w:spacing w:before="0" w:after="283"/>
              <w:ind w:left="0" w:right="0" w:firstLine="300"/>
              <w:jc w:val="left"/>
              <w:rPr/>
            </w:pPr>
            <w:r>
              <w:rPr/>
              <w:t> </w:t>
            </w:r>
          </w:p>
        </w:tc>
      </w:tr>
      <w:tr>
        <w:trPr/>
        <w:tc>
          <w:tcPr>
            <w:tcW w:w="3370" w:type="dxa"/>
            <w:tcBorders/>
            <w:shd w:fill="CFF0FC" w:val="clear"/>
            <w:vAlign w:val="center"/>
          </w:tcPr>
          <w:p>
            <w:pPr>
              <w:pStyle w:val="TableContents"/>
              <w:bidi w:val="0"/>
              <w:spacing w:before="0" w:after="283"/>
              <w:ind w:left="300" w:right="0" w:firstLine="300"/>
              <w:jc w:val="left"/>
              <w:rPr>
                <w:rFonts w:ascii="Times New Roman" w:hAnsi="Times New Roman"/>
                <w:b w:val="false"/>
                <w:color w:val="000000"/>
                <w:sz w:val="20"/>
              </w:rPr>
            </w:pPr>
            <w:r>
              <w:rPr>
                <w:rFonts w:ascii="Times New Roman" w:hAnsi="Times New Roman"/>
                <w:b w:val="false"/>
                <w:color w:val="000000"/>
                <w:sz w:val="20"/>
              </w:rPr>
              <w:t>Less: net income attributable to participating securities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3370"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Net income attributable to NOW Inc. stockholders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7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Denominator:</w:t>
            </w:r>
          </w:p>
        </w:tc>
        <w:tc>
          <w:tcPr>
            <w:tcW w:w="13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491" w:type="dxa"/>
            <w:tcBorders/>
            <w:shd w:fill="CFF0FC" w:val="clear"/>
            <w:vAlign w:val="center"/>
          </w:tcPr>
          <w:p>
            <w:pPr>
              <w:pStyle w:val="TableContents"/>
              <w:bidi w:val="0"/>
              <w:spacing w:before="0" w:after="283"/>
              <w:ind w:left="0" w:right="0" w:firstLine="100"/>
              <w:jc w:val="right"/>
              <w:rPr/>
            </w:pPr>
            <w:r>
              <w:rPr/>
              <w:t> </w:t>
            </w:r>
          </w:p>
        </w:tc>
      </w:tr>
      <w:tr>
        <w:trPr/>
        <w:tc>
          <w:tcPr>
            <w:tcW w:w="3370"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Weighted average basic common shares outstanding</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106,983,920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110,863,381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107,765,405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110,747,087</w:t>
            </w:r>
          </w:p>
        </w:tc>
        <w:tc>
          <w:tcPr>
            <w:tcW w:w="491" w:type="dxa"/>
            <w:tcBorders/>
            <w:shd w:fill="FFFFFF" w:val="clear"/>
            <w:vAlign w:val="center"/>
          </w:tcPr>
          <w:p>
            <w:pPr>
              <w:pStyle w:val="TableContents"/>
              <w:bidi w:val="0"/>
              <w:spacing w:before="0" w:after="283"/>
              <w:ind w:left="0" w:right="0" w:firstLine="300"/>
              <w:jc w:val="left"/>
              <w:rPr/>
            </w:pPr>
            <w:r>
              <w:rPr/>
              <w:t> </w:t>
            </w:r>
          </w:p>
        </w:tc>
      </w:tr>
      <w:tr>
        <w:trPr/>
        <w:tc>
          <w:tcPr>
            <w:tcW w:w="3370" w:type="dxa"/>
            <w:tcBorders/>
            <w:shd w:fill="CFF0FC" w:val="clear"/>
            <w:vAlign w:val="center"/>
          </w:tcPr>
          <w:p>
            <w:pPr>
              <w:pStyle w:val="TableContents"/>
              <w:bidi w:val="0"/>
              <w:spacing w:before="0" w:after="283"/>
              <w:ind w:left="300" w:right="0" w:firstLine="300"/>
              <w:jc w:val="left"/>
              <w:rPr>
                <w:rFonts w:ascii="Times New Roman" w:hAnsi="Times New Roman"/>
                <w:b w:val="false"/>
                <w:color w:val="000000"/>
                <w:sz w:val="20"/>
              </w:rPr>
            </w:pPr>
            <w:r>
              <w:rPr>
                <w:rFonts w:ascii="Times New Roman" w:hAnsi="Times New Roman"/>
                <w:b w:val="false"/>
                <w:color w:val="000000"/>
                <w:sz w:val="20"/>
              </w:rPr>
              <w:t>Effect of dilutive securities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1,134,399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both"/>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569,398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1,074,137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both"/>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363,754</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370"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Weighted average diluted common shares outstanding</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108,118,319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111,432,779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108,839,542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111,110,841</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7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Earnings per share attributable to NOW Inc. stockholders:</w:t>
            </w:r>
          </w:p>
        </w:tc>
        <w:tc>
          <w:tcPr>
            <w:tcW w:w="13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491" w:type="dxa"/>
            <w:tcBorders/>
            <w:shd w:fill="CFF0FC" w:val="clear"/>
            <w:vAlign w:val="center"/>
          </w:tcPr>
          <w:p>
            <w:pPr>
              <w:pStyle w:val="TableContents"/>
              <w:bidi w:val="0"/>
              <w:spacing w:before="0" w:after="283"/>
              <w:ind w:left="0" w:right="0" w:firstLine="100"/>
              <w:jc w:val="right"/>
              <w:rPr/>
            </w:pPr>
            <w:r>
              <w:rPr/>
              <w:t> </w:t>
            </w:r>
          </w:p>
        </w:tc>
      </w:tr>
      <w:tr>
        <w:trPr/>
        <w:tc>
          <w:tcPr>
            <w:tcW w:w="3370"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Basic</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0.85</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370"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0.85</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val="false"/>
          <w:color w:val="000000"/>
          <w:sz w:val="20"/>
        </w:rPr>
        <w:t>Under ASC Topic 260, “Earnings Per Share”, the two-class method requires a portion of net income attributable to NOW Inc. to be allocated to participating securities, which are unvested awards of share-based payments with non-forfeitable rights to receive dividends</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12</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or dividend equivalents, if declared. Net income attributable to these participating securities was excluded from net income attributable to NOW Inc. stockholders in the numerator of the earnings per share computation.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12. Stock-based Compensation and Outstanding Awards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For the nine months ended September 30, 2023, the Company granted 739,885</w:t>
      </w:r>
      <w:r>
        <w:rPr>
          <w:rFonts w:ascii="Times New Roman" w:hAnsi="Times New Roman"/>
          <w:color w:val="000000"/>
          <w:sz w:val="20"/>
        </w:rPr>
        <w:t xml:space="preserve"> </w:t>
      </w:r>
      <w:r>
        <w:rPr>
          <w:rFonts w:ascii="Times New Roman" w:hAnsi="Times New Roman"/>
          <w:b w:val="false"/>
          <w:color w:val="000000"/>
          <w:sz w:val="20"/>
        </w:rPr>
        <w:t>shares of restricted stock awards ("RSAs") and restricted stock units and phantom shares (“RSUs”) with a weighted average fair value of $12.56</w:t>
      </w:r>
      <w:r>
        <w:rPr>
          <w:rFonts w:ascii="Times New Roman" w:hAnsi="Times New Roman"/>
          <w:color w:val="000000"/>
          <w:sz w:val="20"/>
        </w:rPr>
        <w:t xml:space="preserve"> </w:t>
      </w:r>
      <w:r>
        <w:rPr>
          <w:rFonts w:ascii="Times New Roman" w:hAnsi="Times New Roman"/>
          <w:b w:val="false"/>
          <w:color w:val="000000"/>
          <w:sz w:val="20"/>
        </w:rPr>
        <w:t>per share. In addition, the Company granted performance stock awards ("PSAs") to senior management employees with potential payouts varying from zero</w:t>
      </w:r>
      <w:r>
        <w:rPr>
          <w:rFonts w:ascii="Times New Roman" w:hAnsi="Times New Roman"/>
          <w:color w:val="000000"/>
          <w:sz w:val="20"/>
        </w:rPr>
        <w:t xml:space="preserve"> </w:t>
      </w:r>
      <w:r>
        <w:rPr>
          <w:rFonts w:ascii="Times New Roman" w:hAnsi="Times New Roman"/>
          <w:b w:val="false"/>
          <w:color w:val="000000"/>
          <w:sz w:val="20"/>
        </w:rPr>
        <w:t>to 534,618</w:t>
      </w:r>
      <w:r>
        <w:rPr>
          <w:rFonts w:ascii="Times New Roman" w:hAnsi="Times New Roman"/>
          <w:color w:val="000000"/>
          <w:sz w:val="20"/>
        </w:rPr>
        <w:t xml:space="preserve"> </w:t>
      </w:r>
      <w:r>
        <w:rPr>
          <w:rFonts w:ascii="Times New Roman" w:hAnsi="Times New Roman"/>
          <w:b w:val="false"/>
          <w:color w:val="000000"/>
          <w:sz w:val="20"/>
        </w:rPr>
        <w:t>shares. The RSAs and RSUs vest on the first and third anniversary of the date of grant. The PSAs can be earned based on performance against established metrics over a three-year</w:t>
      </w:r>
      <w:r>
        <w:rPr>
          <w:rFonts w:ascii="Times New Roman" w:hAnsi="Times New Roman"/>
          <w:color w:val="000000"/>
          <w:sz w:val="20"/>
        </w:rPr>
        <w:t xml:space="preserve"> </w:t>
      </w:r>
      <w:r>
        <w:rPr>
          <w:rFonts w:ascii="Times New Roman" w:hAnsi="Times New Roman"/>
          <w:b w:val="false"/>
          <w:color w:val="000000"/>
          <w:sz w:val="20"/>
        </w:rPr>
        <w:t>performance period.</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Stock-based compensation expense for the three and nine months ended September 30, 2023, totaled $4</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$11</w:t>
      </w:r>
      <w:r>
        <w:rPr>
          <w:rFonts w:ascii="Times New Roman" w:hAnsi="Times New Roman"/>
          <w:color w:val="000000"/>
          <w:sz w:val="20"/>
        </w:rPr>
        <w:t xml:space="preserve"> </w:t>
      </w:r>
      <w:r>
        <w:rPr>
          <w:rFonts w:ascii="Times New Roman" w:hAnsi="Times New Roman"/>
          <w:b w:val="false"/>
          <w:color w:val="000000"/>
          <w:sz w:val="20"/>
        </w:rPr>
        <w:t>million, respectively, compared to $3</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$7</w:t>
      </w:r>
      <w:r>
        <w:rPr>
          <w:rFonts w:ascii="Times New Roman" w:hAnsi="Times New Roman"/>
          <w:color w:val="000000"/>
          <w:sz w:val="20"/>
        </w:rPr>
        <w:t xml:space="preserve"> </w:t>
      </w:r>
      <w:r>
        <w:rPr>
          <w:rFonts w:ascii="Times New Roman" w:hAnsi="Times New Roman"/>
          <w:b w:val="false"/>
          <w:color w:val="000000"/>
          <w:sz w:val="20"/>
        </w:rPr>
        <w:t>million, respectively, for the corresponding periods of 2022.</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13. Commitments and Contingencies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is involved in various claims, regulatory agency audits and pending or threatened legal actions involving a variety of matters with entities such as suppliers, customers, parties to acquisitions and divestitures, government authorities and other external parties. The Company regularly reviews and records the estimated probable liability in an amount believed to be sufficient and continues to periodically reexamine the estimates of probable liabilities and any associated expenses to make appropriate adjustments to such estimates as necessary. These estimated liabilities are based on the Company’s assessment of the nature of these matters, their progress toward resolution, the advice of legal counsel and outside experts as well as management’s intention and past experience regarding the valuation of these claims. The Company has also assessed the potential for additional losses above the amounts accrued as well as potential losses for matters that are not probable but are reasonably possible. The total potential loss on these matters cannot be determined. While the Company has established estimates it believes to be reasonable under the facts known, the outcomes of litigation and similar disputes are often difficult to reliably predict and may result in decisions or settlements that are contrary to, or in excess of, the Company's expectations.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Company’s business is affected both directly and indirectly by governmental laws and regulations relating to the oilfield service industry in general, as well as by environmental and safety regulations that specifically apply to the Company’s business. Although the Company has not incurred material costs in connection with its compliance with such laws, there can be no assurance that other developments, such as new environmental laws, regulations and enforcement policies hereunder may not result in additional, presently unquantifiable costs or liabilities to the Company. The Company does not accrue for contingent losses that, in its judgment, are considered to be reasonably possible, but not probable. Estimating reasonably possible losses also requires the analysis of multiple possible outcomes that often depend on judgments about potential actions by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maintains credit arrangements with several banks providing for standby letters of credit, including bid and performance bonds, and other bonding requirements. As of September 30, 2023, the Company was contingently liable for approximately $12</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of outstanding standby letters of credit and surety bonds. The Company does not believe, based on historical experience and information currently available, that it is probable that any amounts will be required to be paid on those letters of credit and surety bonds.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14. Derivative Financial Instruments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is exposed to certain risks relating to its ongoing business operations. The Company has entered into certain financial derivative instruments to economically hedge the Company’s risk from changes in the fair value of non functional currency denominated monetary accounts. The Company's foreign currency forward contracts have terms of less than one year.</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records all derivative financial instruments at their fair value in its consolidated balance sheets. None of the derivative financial instruments that the Company holds are designated as either a fair value hedge or cash flow hedge and the gain or loss on the derivative instruments is recorded in earnings. The Company has determined that the fair value of its derivative financial instruments are computed using level 2 inputs (inputs other than quoted prices in active markets for identical assets and liabilities that are observable either directly or indirectly for substantially the full term of the asset or liability) in the fair value hierarchy as the fair value is based on publicly available foreign exchange rates at each financial reporting date. As of September 30, 2023 and December 31, 2022, the fair value of the Company’s foreign currency forward contracts totaled an asset of less than $1</w:t>
      </w:r>
      <w:r>
        <w:rPr>
          <w:rFonts w:ascii="Times New Roman" w:hAnsi="Times New Roman"/>
          <w:color w:val="000000"/>
          <w:sz w:val="20"/>
        </w:rPr>
        <w:t xml:space="preserve"> </w:t>
      </w:r>
      <w:r>
        <w:rPr>
          <w:rFonts w:ascii="Times New Roman" w:hAnsi="Times New Roman"/>
          <w:b w:val="false"/>
          <w:color w:val="000000"/>
          <w:sz w:val="20"/>
        </w:rPr>
        <w:t>million and a liability of less than $1</w:t>
      </w:r>
      <w:r>
        <w:rPr>
          <w:rFonts w:ascii="Times New Roman" w:hAnsi="Times New Roman"/>
          <w:color w:val="000000"/>
          <w:sz w:val="20"/>
        </w:rPr>
        <w:t xml:space="preserve"> </w:t>
      </w:r>
      <w:r>
        <w:rPr>
          <w:rFonts w:ascii="Times New Roman" w:hAnsi="Times New Roman"/>
          <w:b w:val="false"/>
          <w:color w:val="000000"/>
          <w:sz w:val="20"/>
        </w:rPr>
        <w:t>million in both periods. The Company's foreign currency forward contract assets were included in prepaid and other current assets in the consolidated balance sheets and the Company's foreign contract liabilities were included in other current liabilities in the consolidated balance sheets.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For the three and nine months ended September 30, 2023, the Company recorded a loss of less than $1</w:t>
      </w:r>
      <w:r>
        <w:rPr>
          <w:rFonts w:ascii="Times New Roman" w:hAnsi="Times New Roman"/>
          <w:color w:val="000000"/>
          <w:sz w:val="20"/>
        </w:rPr>
        <w:t xml:space="preserve"> </w:t>
      </w:r>
      <w:r>
        <w:rPr>
          <w:rFonts w:ascii="Times New Roman" w:hAnsi="Times New Roman"/>
          <w:b w:val="false"/>
          <w:color w:val="000000"/>
          <w:sz w:val="20"/>
        </w:rPr>
        <w:t>million in both periods related to changes in fair value. For the three and nine months ended September 30, 2022, the Company recorded a gain of less than $1</w:t>
      </w:r>
      <w:r>
        <w:rPr>
          <w:rFonts w:ascii="Times New Roman" w:hAnsi="Times New Roman"/>
          <w:color w:val="000000"/>
          <w:sz w:val="20"/>
        </w:rPr>
        <w:t xml:space="preserve"> </w:t>
      </w:r>
      <w:r>
        <w:rPr>
          <w:rFonts w:ascii="Times New Roman" w:hAnsi="Times New Roman"/>
          <w:b w:val="false"/>
          <w:color w:val="000000"/>
          <w:sz w:val="20"/>
        </w:rPr>
        <w:t>million and a loss of less than $1</w:t>
      </w:r>
      <w:r>
        <w:rPr>
          <w:rFonts w:ascii="Times New Roman" w:hAnsi="Times New Roman"/>
          <w:color w:val="000000"/>
          <w:sz w:val="20"/>
        </w:rPr>
        <w:t xml:space="preserve"> </w:t>
      </w:r>
      <w:r>
        <w:rPr>
          <w:rFonts w:ascii="Times New Roman" w:hAnsi="Times New Roman"/>
          <w:b w:val="false"/>
          <w:color w:val="000000"/>
          <w:sz w:val="20"/>
        </w:rPr>
        <w:t>million, respectively, related to changes in fair value. All gains and losses were included in other income (expense) in the consolidated statements of operations. As of September 30, 2023 and December 31, 2022, the notional principal associated with those contracts was $16</w:t>
      </w:r>
      <w:r>
        <w:rPr>
          <w:rFonts w:ascii="Times New Roman" w:hAnsi="Times New Roman"/>
          <w:color w:val="000000"/>
          <w:sz w:val="20"/>
        </w:rPr>
        <w:t xml:space="preserve"> </w:t>
      </w:r>
      <w:r>
        <w:rPr>
          <w:rFonts w:ascii="Times New Roman" w:hAnsi="Times New Roman"/>
          <w:b w:val="false"/>
          <w:color w:val="000000"/>
          <w:sz w:val="20"/>
        </w:rPr>
        <w:t>million and $7</w:t>
      </w:r>
      <w:r>
        <w:rPr>
          <w:rFonts w:ascii="Times New Roman" w:hAnsi="Times New Roman"/>
          <w:color w:val="000000"/>
          <w:sz w:val="20"/>
        </w:rPr>
        <w:t xml:space="preserve"> </w:t>
      </w:r>
      <w:r>
        <w:rPr>
          <w:rFonts w:ascii="Times New Roman" w:hAnsi="Times New Roman"/>
          <w:b w:val="false"/>
          <w:color w:val="000000"/>
          <w:sz w:val="20"/>
        </w:rPr>
        <w:t>million, respectively.</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13</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September 30, 2023, the Company’s financial instruments do not</w:t>
      </w:r>
      <w:r>
        <w:rPr>
          <w:rFonts w:ascii="Times New Roman" w:hAnsi="Times New Roman"/>
          <w:color w:val="FF0000"/>
          <w:sz w:val="20"/>
        </w:rPr>
        <w:t xml:space="preserve"> </w:t>
      </w:r>
      <w:r>
        <w:rPr>
          <w:rFonts w:ascii="Times New Roman" w:hAnsi="Times New Roman"/>
          <w:b w:val="false"/>
          <w:color w:val="000000"/>
          <w:sz w:val="20"/>
        </w:rPr>
        <w:t>contain any credit-risk-related or other contingent features that could cause accelerated payments when the Company’s financial instruments are in net liability positions. The Company does not use derivative financial instruments for trading or speculative purposes.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15. Acquisitions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For the nine months ended September 30, 2023, the Company completed two</w:t>
      </w:r>
      <w:r>
        <w:rPr>
          <w:rFonts w:ascii="Times New Roman" w:hAnsi="Times New Roman"/>
          <w:color w:val="000000"/>
          <w:sz w:val="20"/>
        </w:rPr>
        <w:t xml:space="preserve"> </w:t>
      </w:r>
      <w:r>
        <w:rPr>
          <w:rFonts w:ascii="Times New Roman" w:hAnsi="Times New Roman"/>
          <w:b w:val="false"/>
          <w:color w:val="000000"/>
          <w:sz w:val="20"/>
        </w:rPr>
        <w:t>acquisitions for a net purchase price consideration of approximately $33</w:t>
      </w:r>
      <w:r>
        <w:rPr>
          <w:rFonts w:ascii="Times New Roman" w:hAnsi="Times New Roman"/>
          <w:color w:val="000000"/>
          <w:sz w:val="20"/>
        </w:rPr>
        <w:t xml:space="preserve"> </w:t>
      </w:r>
      <w:r>
        <w:rPr>
          <w:rFonts w:ascii="Times New Roman" w:hAnsi="Times New Roman"/>
          <w:b w:val="false"/>
          <w:color w:val="000000"/>
          <w:sz w:val="20"/>
        </w:rPr>
        <w:t>million cash. These acquisitions expand product line offerings and services to the Company's U.S. Process Solutions business. The Company completed its preliminary valuations as of the acquisition date of the acquired net assets and recognized goodwill of $22</w:t>
      </w:r>
      <w:r>
        <w:rPr>
          <w:rFonts w:ascii="Times New Roman" w:hAnsi="Times New Roman"/>
          <w:color w:val="000000"/>
          <w:sz w:val="20"/>
        </w:rPr>
        <w:t xml:space="preserve"> </w:t>
      </w:r>
      <w:r>
        <w:rPr>
          <w:rFonts w:ascii="Times New Roman" w:hAnsi="Times New Roman"/>
          <w:b w:val="false"/>
          <w:color w:val="000000"/>
          <w:sz w:val="20"/>
        </w:rPr>
        <w:t>million and intangible assets of $9</w:t>
      </w:r>
      <w:r>
        <w:rPr>
          <w:rFonts w:ascii="Times New Roman" w:hAnsi="Times New Roman"/>
          <w:color w:val="000000"/>
          <w:sz w:val="20"/>
        </w:rPr>
        <w:t xml:space="preserve"> </w:t>
      </w:r>
      <w:r>
        <w:rPr>
          <w:rFonts w:ascii="Times New Roman" w:hAnsi="Times New Roman"/>
          <w:b w:val="false"/>
          <w:color w:val="000000"/>
          <w:sz w:val="20"/>
        </w:rPr>
        <w:t>million in the United States segment, which are subject to change. If additional information is obtained about these assets and liabilities within the measurement period (not to exceed one year from the date of acquisition), the Company will refine its estimate of fair value to allocate the purchase price more accurately; any such revisions are not expected to be significant. The full amount of goodwill recognized is expected to be deductible for income tax purposes. The Company has not presented supplemental pro forma information because the acquired operations did not materially impact the Company’s consolidated operating results.</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14</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10" w:name="item_2_managements_discussion_analysis_f"/>
      <w:bookmarkEnd w:id="10"/>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Some of the information in this document contains, or has incorporated by reference, forward-looking statements within the meaning of Section 27A of the Securities Act of 1933, as amended, and Section 21E of the Securities Exchange Act of 1934, as amended. Statements that are not historical facts, including statements about our beliefs and expectations, are forward-looking statements. Forward-looking statements typically are identified by use of terms such as “may,” “believe,” “anticipate,” “expect,” “plan,” “predict,” “estimate,” “will be” or other similar words and phrases, although some forward-looking statements are expressed differently. You should be aware that our actual results could differ materially from results anticipated in the forward-looking statements due to a number of factors, including, but not limited to, changes in oil and gas prices, changes in the energy markets, customer demand for our products, significant changes in the size of our customers, difficulties encountered in integrating mergers and acquisitions, general volatility in the capital markets, ability to complete the share repurchase program, changes in applicable government regulations, increased borrowing costs, geopolitical conditions (including the Ukraine and Middle East conflicts and their regional and global impacts)</w:t>
      </w:r>
      <w:r>
        <w:rPr>
          <w:rFonts w:ascii="Times New Roman" w:hAnsi="Times New Roman"/>
          <w:color w:val="FF0000"/>
          <w:sz w:val="20"/>
        </w:rPr>
        <w:t xml:space="preserve"> </w:t>
      </w:r>
      <w:r>
        <w:rPr>
          <w:rFonts w:ascii="Times New Roman" w:hAnsi="Times New Roman"/>
          <w:b w:val="false"/>
          <w:color w:val="000000"/>
          <w:sz w:val="20"/>
        </w:rPr>
        <w:t>or any litigation arising out of or related thereto, impairments in long-lived assets and worldwide economic activity. You should also consider carefully the statements under “Risk Factors,” as disclosed in our Form 10-K, which address additional factors that could cause our actual results to differ from those set forth in the forward-looking statements. Given these uncertainties, current or prospective investors are cautioned not to place undue reliance on any such forward-looking statements. We undertake no obligation to update any such factors or forward-looking statements to reflect future events or developments.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Company Overview</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are a global distributor to the oil and gas and industrial markets with a legacy of over 160 years. We operate primarily under the DNOW brand. Through a network of approximately 170 locations and approximately 2,475 employees worldwide, we offer a complementary suite of digital procurement channels that, in conjunction with our locations, provides products to the energy and industrial markets around the world.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Additionally, through our growing DigitalNOW</w:t>
      </w:r>
      <w:r>
        <w:rPr>
          <w:rFonts w:ascii="Times New Roman" w:hAnsi="Times New Roman"/>
          <w:b w:val="false"/>
          <w:color w:val="000000"/>
          <w:sz w:val="13"/>
        </w:rPr>
        <w:t>®</w:t>
      </w:r>
      <w:r>
        <w:rPr>
          <w:rFonts w:ascii="Times New Roman" w:hAnsi="Times New Roman"/>
          <w:color w:val="000000"/>
          <w:sz w:val="20"/>
        </w:rPr>
        <w:t xml:space="preserve"> </w:t>
      </w:r>
      <w:r>
        <w:rPr>
          <w:rFonts w:ascii="Times New Roman" w:hAnsi="Times New Roman"/>
          <w:b w:val="false"/>
          <w:color w:val="000000"/>
          <w:sz w:val="20"/>
        </w:rPr>
        <w:t>platform, customers can leverage world-class technology across ecommerce, data management and supply chain optimization applications to solve a wide array of complex operational and product sourcing challenges to assist in maximizing their return on assets.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energy product offering is consumed throughout all sectors of the energy industry – from upstream drilling and completion, exploration and production (“E&amp;P”), midstream infrastructure development to downstream petroleum refining and petrochemicals – as well as in other industries, such as chemical processing, mining, utilities and the evolving energy transition markets inclusive of greenhouse gas emissions capture, reduction and storage, renewable natural gas (“RNG”), wind, solar, and production of hydrogen as a fuel to power equipment. The industrial distribution end markets include engineering and construction firms that perform capital and maintenance projects for their end user clients. We also provide supply chain and materials management solutions to the same markets where we sell products.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global product offering includes consumable maintenance, repair and operating (“MRO”) supplies, pipe, manual and automated valves, fittings, flanges, gaskets, fasteners, electrical, instrumentation, artificial lift, pumping solutions, and modular process, production, measurement and control equipment. We also offer procurement, warehouse and inventory management solutions as part of our supply chain and materials management offering. We have developed expertise in providing application systems, work processes, parts integration, optimization solutions and after-sales support.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solutions include outsourcing portions or entire functions of our customers’ procurement, warehouse and inventory management, logistics, point of issue technology, project management, business process and performance metrics reporting. These solutions allow us to leverage the infrastructure of our SAP Enterprise Resource Planning (“ERP”) system and other technologies to streamline our customers’ purchasing process, from requisition to procurement to payment, by digitally managing workflow, improving approval routing and providing robust reporting functionality.</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support land and offshore operations for the major oil and gas producing regions around the world through our network of locations. Our key markets, beyond North America, include South America, Europe, the Middle East, Asia Pacific, Central Asia and West and North Africa. Products sold through our locations support greenfield expansion upstream capital projects, midstream infrastructure and transmission and MRO consumables used in day-to-day production. We provide downstream energy and industrial products for petroleum refining, chemical processing, liquefied natural gas (“LNG”) terminals, power generation utilities and customer on-site locations.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supplier network consists of thousands of vendors in approximately 40 countries. From our operations in approximately 20 countries, we sell to customers operating in approximately 80 countries. The supplies and equipment stocked by each of our branches are customized to meet varied and changing local customer demands. The breadth and scale of our offering enhances our value proposition to our customers, suppliers and shareholders.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15</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employ advanced information technologies, including a common ERP platform across most of our business, to provide complete procurement, warehouse and inventory management and logistics coordination to our customers around the globe. Having a common ERP platform allows immediate visibility into our inventory assets, operations and financials worldwide, enhancing decision making and efficiency.</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Demand for our products is driven primarily by the level of oil and gas drilling, completions, servicing, production, transmission, refining and petrochemical activities. It is also influenced by the global supply and demand for energy, the economy in general and geopolitics. Several factors drive spending, such as investment in energy infrastructure, the North American conventional and shale plays, Organization of Petroleum Exporting Countries (“OPEC”) and non-OPEC supply and investments, market expectations of future developments in the oil, natural gas, liquids, refined products, petrochemical, plant maintenance and other industrial, manufacturing and energy sectors.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have expanded globally, through acquisitions and organic investments, in Australia, Azerbaijan, Brazil, Canada, Colombia, Egypt, England, India, Indonesia, Kazakhstan, Kuwait, Netherlands, Norway, Oman, Scotland, Singapore, the United Arab Emirates (“UAE”) and the United States (“U.S.”).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Summary of Reportable Segments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operate through three reportable segments: U.S., Canada and International. The segment data included in our Management’s Discussion and Analysis are presented on a basis consistent with our internal management reporting. Segment information appearing in Note 9 “Business Segments” of the notes to the unaudited consolidated financial statements (Part I, Item 1 of this Form 10-Q) is also presented on this basis.</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United States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have approximately 110 locations in the U.S., which are geographically positioned to best serve the upstream, midstream, downstream, and renewable energy and industrial markets.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offer higher value solutions in key product lines in the U.S. which broaden and deepen our customer relationships and related product line value. Examples of these include artificial lift, pumps, valves and valve actuation, process and production equipment, fluid transfer products, measurement and controls, spoolable and coated steel-pipe and composite pipe, along with many other products required by our customers, which enable them to focus on their core business while we manage varying degrees of their supply chain. We also provide additional value to our customers through the engineering, design, construction, assembly, fabrication and optimization of products and equipment essential to the safe and efficient production, transportation and processing of oil and gas.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Canada</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have a network of approximately 40 locations in the Canadian oilfield, predominantly in the oil rich provinces of Alberta, Saskatchewan, Manitoba and other targeted locations across the country. Our Canada segment primarily serves energy exploration, production, mining and drilling business, offering customers many of the same products and value-added solutions that we perform in the U.S. In Canada, we also provide training for, and supervise the installation of, jointed and spoolable composite pipe. This product line is supported by inventory, as well as product and installation expertise to serve our customers.</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International</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operate in approximately 15 countries and serve the needs of our international customers from approximately 20 locations outside the U.S. and Canada, which are strategically located in major oil and gas development areas. Our approach in these markets is similar to our approach in North America, as our customers turn to us to provide products and supply chain solutions support closer to their drilling and exploration activities. Our long legacy of operating in many international regions, combined with significant expansion into several key markets, provides a competitive advantage as few of our competitors have a presence in most of the global energy producing regions.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16</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unaudited consolidated financial information included in this report has been prepared in accordance with accounting principles generally accepted in the United States (“GAAP”) for interim financial information and Article 10 of SEC Regulation S-X. All significant intercompany transactions and accounts have been eliminated. Variable interest entities for which the Company is the primary beneficiary are fully consolidated with the equity held by the outside stockholders and their portion of net income (loss) reflected as noncontrolling interest in the accompanying consolidated financial statements. The principles for interim financial information do not require the inclusion of all the information and footnotes required by GAAP for complete financial statements. Therefore, these financial statements should be read in conjunction with the financial statements included in the Company’s most recent Annual Report on Form 10-K. In the opinion of our management, the consolidated financial statements include all adjustments, which are of a normal recurring nature unless disclosed otherwise, necessary for a fair presentation of the results for the interim periods. The results of operations for the three and nine months ended September 30, 2023, are not necessarily indicative of the results to be expected for the full year.</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Operating Environment Overview</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Our results are dependent on, among other factors, the level of worldwide oil and gas drilling and completions, well remediation activity, crude oil and natural gas prices, capital spending by oilfield service companies and drilling contractors, and the worldwide oil and gas inventory levels. Key industry indicators for the third quarter of 2023 and 2022 and the second quarter of 2023 include the following:</w:t>
      </w:r>
    </w:p>
    <w:tbl>
      <w:tblPr>
        <w:tblW w:w="10205" w:type="dxa"/>
        <w:jc w:val="left"/>
        <w:tblInd w:w="0" w:type="dxa"/>
        <w:tblLayout w:type="fixed"/>
        <w:tblCellMar>
          <w:top w:w="28" w:type="dxa"/>
          <w:left w:w="28" w:type="dxa"/>
          <w:bottom w:w="28" w:type="dxa"/>
          <w:right w:w="28" w:type="dxa"/>
        </w:tblCellMar>
      </w:tblPr>
      <w:tblGrid>
        <w:gridCol w:w="3914"/>
        <w:gridCol w:w="146"/>
        <w:gridCol w:w="211"/>
        <w:gridCol w:w="676"/>
        <w:gridCol w:w="146"/>
        <w:gridCol w:w="146"/>
        <w:gridCol w:w="211"/>
        <w:gridCol w:w="676"/>
        <w:gridCol w:w="146"/>
        <w:gridCol w:w="146"/>
        <w:gridCol w:w="154"/>
        <w:gridCol w:w="557"/>
        <w:gridCol w:w="321"/>
        <w:gridCol w:w="146"/>
        <w:gridCol w:w="211"/>
        <w:gridCol w:w="826"/>
        <w:gridCol w:w="146"/>
        <w:gridCol w:w="146"/>
        <w:gridCol w:w="154"/>
        <w:gridCol w:w="557"/>
        <w:gridCol w:w="569"/>
      </w:tblGrid>
      <w:tr>
        <w:trPr/>
        <w:tc>
          <w:tcPr>
            <w:tcW w:w="39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391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1"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3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1"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569" w:type="dxa"/>
            <w:tcBorders/>
            <w:shd w:fill="FFFFFF" w:val="clear"/>
            <w:vAlign w:val="center"/>
          </w:tcPr>
          <w:p>
            <w:pPr>
              <w:pStyle w:val="TableContents"/>
              <w:bidi w:val="0"/>
              <w:spacing w:before="0" w:after="283"/>
              <w:jc w:val="center"/>
              <w:rPr/>
            </w:pPr>
            <w:r>
              <w:rPr/>
              <w:t> </w:t>
            </w:r>
          </w:p>
        </w:tc>
      </w:tr>
      <w:tr>
        <w:trPr/>
        <w:tc>
          <w:tcPr>
            <w:tcW w:w="391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1"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3Q23 v</w:t>
            </w:r>
          </w:p>
        </w:tc>
        <w:tc>
          <w:tcPr>
            <w:tcW w:w="3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1"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3Q23 v</w:t>
            </w:r>
          </w:p>
        </w:tc>
        <w:tc>
          <w:tcPr>
            <w:tcW w:w="569" w:type="dxa"/>
            <w:tcBorders/>
            <w:shd w:fill="FFFFFF" w:val="clear"/>
            <w:vAlign w:val="center"/>
          </w:tcPr>
          <w:p>
            <w:pPr>
              <w:pStyle w:val="TableContents"/>
              <w:bidi w:val="0"/>
              <w:spacing w:before="0" w:after="283"/>
              <w:jc w:val="center"/>
              <w:rPr/>
            </w:pPr>
            <w:r>
              <w:rPr/>
              <w:t> </w:t>
            </w:r>
          </w:p>
        </w:tc>
      </w:tr>
      <w:tr>
        <w:trPr/>
        <w:tc>
          <w:tcPr>
            <w:tcW w:w="391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3Q23*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3Q22*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3Q22</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2Q23*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2Q23</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Active Drilling Rigs: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11" w:type="dxa"/>
            <w:gridSpan w:val="2"/>
            <w:tcBorders/>
            <w:shd w:fill="CFF0FC" w:val="clear"/>
            <w:vAlign w:val="center"/>
          </w:tcPr>
          <w:p>
            <w:pPr>
              <w:pStyle w:val="TableContents"/>
              <w:bidi w:val="0"/>
              <w:spacing w:before="0" w:after="283"/>
              <w:jc w:val="center"/>
              <w:rPr/>
            </w:pPr>
            <w:r>
              <w:rPr/>
              <w:t> </w:t>
            </w:r>
          </w:p>
        </w:tc>
        <w:tc>
          <w:tcPr>
            <w:tcW w:w="32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03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11" w:type="dxa"/>
            <w:gridSpan w:val="2"/>
            <w:tcBorders/>
            <w:shd w:fill="CFF0FC" w:val="clear"/>
            <w:vAlign w:val="center"/>
          </w:tcPr>
          <w:p>
            <w:pPr>
              <w:pStyle w:val="TableContents"/>
              <w:bidi w:val="0"/>
              <w:spacing w:before="0" w:after="283"/>
              <w:jc w:val="center"/>
              <w:rPr/>
            </w:pPr>
            <w:r>
              <w:rPr/>
              <w:t> </w:t>
            </w:r>
          </w:p>
        </w:tc>
        <w:tc>
          <w:tcPr>
            <w:tcW w:w="569" w:type="dxa"/>
            <w:tcBorders/>
            <w:shd w:fill="CFF0FC" w:val="clear"/>
            <w:vAlign w:val="center"/>
          </w:tcPr>
          <w:p>
            <w:pPr>
              <w:pStyle w:val="TableContents"/>
              <w:bidi w:val="0"/>
              <w:spacing w:before="0" w:after="283"/>
              <w:ind w:left="0" w:right="0" w:firstLine="200"/>
              <w:jc w:val="center"/>
              <w:rPr/>
            </w:pPr>
            <w:r>
              <w:rPr/>
              <w:t> </w:t>
            </w:r>
          </w:p>
        </w:tc>
      </w:tr>
      <w:tr>
        <w:trPr/>
        <w:tc>
          <w:tcPr>
            <w:tcW w:w="391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U.S.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55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(14.5</w:t>
            </w:r>
          </w:p>
        </w:tc>
        <w:tc>
          <w:tcPr>
            <w:tcW w:w="3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55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w:t>
            </w:r>
          </w:p>
        </w:tc>
        <w:tc>
          <w:tcPr>
            <w:tcW w:w="569"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91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Canada</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55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w:t>
            </w:r>
          </w:p>
        </w:tc>
        <w:tc>
          <w:tcPr>
            <w:tcW w:w="3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55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63.5</w:t>
            </w:r>
          </w:p>
        </w:tc>
        <w:tc>
          <w:tcPr>
            <w:tcW w:w="569"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91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International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(0.9</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91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Worldwide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w:t>
            </w:r>
          </w:p>
        </w:tc>
        <w:tc>
          <w:tcPr>
            <w:tcW w:w="3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w:t>
            </w:r>
          </w:p>
        </w:tc>
        <w:tc>
          <w:tcPr>
            <w:tcW w:w="5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91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1" w:type="dxa"/>
            <w:gridSpan w:val="2"/>
            <w:tcBorders/>
            <w:shd w:fill="FFFFFF" w:val="clear"/>
            <w:vAlign w:val="center"/>
          </w:tcPr>
          <w:p>
            <w:pPr>
              <w:pStyle w:val="TableContents"/>
              <w:bidi w:val="0"/>
              <w:spacing w:before="0" w:after="283"/>
              <w:jc w:val="right"/>
              <w:rPr/>
            </w:pPr>
            <w:r>
              <w:rPr/>
              <w:t> </w:t>
            </w:r>
          </w:p>
        </w:tc>
        <w:tc>
          <w:tcPr>
            <w:tcW w:w="32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1" w:type="dxa"/>
            <w:gridSpan w:val="2"/>
            <w:tcBorders/>
            <w:shd w:fill="FFFFFF" w:val="clear"/>
            <w:vAlign w:val="center"/>
          </w:tcPr>
          <w:p>
            <w:pPr>
              <w:pStyle w:val="TableContents"/>
              <w:bidi w:val="0"/>
              <w:spacing w:before="0" w:after="283"/>
              <w:jc w:val="right"/>
              <w:rPr/>
            </w:pPr>
            <w:r>
              <w:rPr/>
              <w:t> </w:t>
            </w:r>
          </w:p>
        </w:tc>
        <w:tc>
          <w:tcPr>
            <w:tcW w:w="569" w:type="dxa"/>
            <w:tcBorders/>
            <w:shd w:fill="FFFFFF" w:val="clear"/>
            <w:vAlign w:val="center"/>
          </w:tcPr>
          <w:p>
            <w:pPr>
              <w:pStyle w:val="TableContents"/>
              <w:bidi w:val="0"/>
              <w:spacing w:before="0" w:after="283"/>
              <w:jc w:val="right"/>
              <w:rPr/>
            </w:pPr>
            <w:r>
              <w:rPr/>
              <w:t> </w:t>
            </w:r>
          </w:p>
        </w:tc>
      </w:tr>
      <w:tr>
        <w:trPr/>
        <w:tc>
          <w:tcPr>
            <w:tcW w:w="391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West Texas Intermediate Crude Prices (per barrel)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55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w:t>
            </w:r>
          </w:p>
        </w:tc>
        <w:tc>
          <w:tcPr>
            <w:tcW w:w="3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55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11.6</w:t>
            </w:r>
          </w:p>
        </w:tc>
        <w:tc>
          <w:tcPr>
            <w:tcW w:w="56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91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Natural Gas Prices ($/MMBtu)</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55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(67.6</w:t>
            </w:r>
          </w:p>
        </w:tc>
        <w:tc>
          <w:tcPr>
            <w:tcW w:w="3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55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19.9</w:t>
            </w:r>
          </w:p>
        </w:tc>
        <w:tc>
          <w:tcPr>
            <w:tcW w:w="56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91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Hot-Rolled Coil Prices (steel) ($/short ton)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830.97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915.51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55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w:t>
            </w:r>
          </w:p>
        </w:tc>
        <w:tc>
          <w:tcPr>
            <w:tcW w:w="3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1,065.28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55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(22.0</w:t>
            </w:r>
          </w:p>
        </w:tc>
        <w:tc>
          <w:tcPr>
            <w:tcW w:w="56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 Averages for the quarters indicated. See sources on following page.</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17</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val="false"/>
          <w:color w:val="000000"/>
          <w:sz w:val="20"/>
        </w:rPr>
      </w:pPr>
      <w:r>
        <w:rPr>
          <w:rFonts w:ascii="Times New Roman" w:hAnsi="Times New Roman"/>
          <w:b w:val="false"/>
          <w:color w:val="000000"/>
          <w:sz w:val="20"/>
        </w:rPr>
        <w:t>The following table details the U.S., Canadian and international rig activity and West Texas Intermediate oil prices for the past nine quarters ended September 30, 2023:</w:t>
      </w:r>
    </w:p>
    <w:p>
      <w:pPr>
        <w:pStyle w:val="TextBody"/>
        <w:bidi w:val="0"/>
        <w:jc w:val="center"/>
        <w:rPr/>
      </w:pPr>
      <w:r>
        <w:rPr/>
        <w:drawing>
          <wp:inline distT="0" distB="0" distL="0" distR="0">
            <wp:extent cx="6858000" cy="5191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5191125"/>
                    </a:xfrm>
                    <a:prstGeom prst="rect">
                      <a:avLst/>
                    </a:prstGeom>
                  </pic:spPr>
                </pic:pic>
              </a:graphicData>
            </a:graphic>
          </wp:inline>
        </w:drawing>
      </w:r>
      <w:r>
        <w:rPr/>
        <w:t> </w:t>
      </w:r>
    </w:p>
    <w:p>
      <w:pPr>
        <w:pStyle w:val="TextBody"/>
        <w:bidi w:val="0"/>
        <w:spacing w:before="40" w:after="283"/>
        <w:jc w:val="left"/>
        <w:rPr>
          <w:rFonts w:ascii="Times New Roman" w:hAnsi="Times New Roman"/>
          <w:sz w:val="20"/>
        </w:rPr>
      </w:pPr>
      <w:r>
        <w:rPr>
          <w:rFonts w:ascii="Times New Roman" w:hAnsi="Times New Roman"/>
          <w:b w:val="false"/>
          <w:color w:val="000000"/>
          <w:sz w:val="20"/>
        </w:rPr>
        <w:t>Sources: Rig count: Baker Hughes, Inc. (</w:t>
      </w:r>
      <w:r>
        <w:rPr>
          <w:rFonts w:ascii="Times New Roman" w:hAnsi="Times New Roman"/>
          <w:b w:val="false"/>
          <w:color w:val="000000"/>
          <w:sz w:val="20"/>
          <w:u w:val="single"/>
        </w:rPr>
        <w:t>www.bakerhughes.com</w:t>
      </w:r>
      <w:r>
        <w:rPr>
          <w:rFonts w:ascii="Times New Roman" w:hAnsi="Times New Roman"/>
          <w:b w:val="false"/>
          <w:color w:val="000000"/>
          <w:sz w:val="20"/>
        </w:rPr>
        <w:t>); West Texas Intermediate Crude and Natural Gas Prices: Department of Energy, Energy Information Administration (</w:t>
      </w:r>
      <w:r>
        <w:rPr>
          <w:rFonts w:ascii="Times New Roman" w:hAnsi="Times New Roman"/>
          <w:b w:val="false"/>
          <w:color w:val="000000"/>
          <w:sz w:val="20"/>
          <w:u w:val="single"/>
        </w:rPr>
        <w:t>www.eia.doe.gov</w:t>
      </w:r>
      <w:r>
        <w:rPr>
          <w:rFonts w:ascii="Times New Roman" w:hAnsi="Times New Roman"/>
          <w:b w:val="false"/>
          <w:color w:val="000000"/>
          <w:sz w:val="20"/>
        </w:rPr>
        <w:t>); Hot-Rolled Coil Prices: SteelBenchmarker Hot Roll Coil USA (</w:t>
      </w:r>
      <w:r>
        <w:rPr>
          <w:rFonts w:ascii="Times New Roman" w:hAnsi="Times New Roman"/>
          <w:b w:val="false"/>
          <w:color w:val="000000"/>
          <w:sz w:val="20"/>
          <w:u w:val="single"/>
        </w:rPr>
        <w:t>www.steelbenchmarker.com</w:t>
      </w:r>
      <w:r>
        <w:rPr>
          <w:rFonts w:ascii="Times New Roman" w:hAnsi="Times New Roman"/>
          <w:b w:val="false"/>
          <w:color w:val="000000"/>
          <w:sz w:val="2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worldwide quarterly average rig count declined 0.4% (from 1,797 rigs to 1,790 rigs) and the U.S. declined 9.8% (from 722 rigs to 651 rigs) in the third quarter of 2023 compared to the second quarter of 2023. The average price per barrel of West Texas Intermediate Crude increased 11.6% (from $73.76 per barrel to $82.30 per barrel), and natural gas prices increased 19.9% (from $2.16 per MMBtu to $2.59 per MMBtu) in the third quarter of 2023 compared to the second quarter of 2023. The average price per short ton of Hot-Rolled Coil declined 22.0% (from $1,065.28 per short ton to $830.97 per short ton) in the third quarter of 2023 compared to the second quarter of 2023.</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U.S. rig count at October 13, 2023 was 622 rigs, down 29 rigs from the third quarter 2023 average. The price for West Texas Intermediate Crude was $87.67 per barrel at October 13, 2023, up 6.5% from the third quarter 2023 average. The price for natural gas was $3.11 per MMBtu at October 13, 2023, up 20.1% from the third quarter 2023 average. The price for Hot-Rolled Coil was $691.00 per short ton at October 9, 2023, down 16.8% from the third quarter 2023 average.</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18</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Executive Summary</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For the three and nine months ended September 30, 2023, the Company generated net income attributable to NOW Inc. of $35 million and $100 million on $588 million and $1,766 million in revenue, respectively. For the three and nine months ended September 30, 2023, revenue increased $11 million or 1.9% and $177 million or 11.1%, respectively, and net income attributable to NOW Inc. decreased $5 million and increased $4 million, respectively, when compared to the corresponding periods of 2022.</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For the three and nine months ended September 30, 2023, the Company generated an operating profit of $37 million and $108 million, respectively, compared to an operating profit of $44 million and $96 million, respectively, for the corresponding periods of 2022.</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Outlook</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Our outlook for the Company remains tied to crude oil and natural gas commodity prices, global oil and gas drilling and completions activity, oil and gas spending, and global demand for oil, its refined petroleum products, crude oil, natural gas liquids and natural gas production and decline rates. Crude oil and natural gas prices as well as crude oil and natural gas storage levels are primary catalysts for determining customer activity and we expect oil and gas demand to grow over the next several years. In recent years, oil prices have remained volatile due to various factors such as the impact of the COVID-19 pandemic, oil supply constraints, geopolitical instability, U.S. regional bank instability and concerns of a global recession. Economic uncertainty continues to drive commodity price volatility globally. Despite lower North American rig count, we maintain a constructive outlook for our market. Amid these dynamics, we will continue to support our customers, optimize our operations, advance our strategic goals and manage the Company based on market conditions.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see the rise in energy evolution investments as an opportunity for us to supply many of the current products and services we provide, as well as an opportunity to partner and source from new suppliers to expand our offering, to meet our customers’ needs for their energy evolution investments. A number of our larger customers are leading the investments in energy evolution projects where we expect to continue to support them while expanding our product and solution offerings to meet their changing requirements. We are also targeting new customers that are not traditional oil and gas customers, but are those that will play a part in the future as our customers discover and invest in new sources of energy.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40" w:after="240"/>
        <w:jc w:val="left"/>
        <w:rPr>
          <w:rFonts w:ascii="Times New Roman" w:hAnsi="Times New Roman"/>
          <w:sz w:val="20"/>
        </w:rPr>
      </w:pPr>
      <w:r>
        <w:rPr>
          <w:rFonts w:ascii="Times New Roman" w:hAnsi="Times New Roman"/>
          <w:b w:val="false"/>
          <w:color w:val="000000"/>
          <w:sz w:val="20"/>
        </w:rPr>
        <w:t>The results of operations are presented before consideration of the noncontrolling interest. Operating results by reportable segment are as follows (</w:t>
      </w:r>
      <w:r>
        <w:rPr>
          <w:rFonts w:ascii="Times New Roman" w:hAnsi="Times New Roman"/>
          <w:b w:val="false"/>
          <w:i/>
          <w:color w:val="000000"/>
          <w:sz w:val="20"/>
        </w:rPr>
        <w:t>in millions</w:t>
      </w:r>
      <w:r>
        <w:rPr>
          <w:rFonts w:ascii="Times New Roman" w:hAnsi="Times New Roman"/>
          <w:b w:val="false"/>
          <w:color w:val="000000"/>
          <w:sz w:val="20"/>
        </w:rPr>
        <w:t>):</w:t>
      </w:r>
    </w:p>
    <w:tbl>
      <w:tblPr>
        <w:tblW w:w="8735" w:type="dxa"/>
        <w:jc w:val="left"/>
        <w:tblInd w:w="0" w:type="dxa"/>
        <w:tblLayout w:type="fixed"/>
        <w:tblCellMar>
          <w:top w:w="28" w:type="dxa"/>
          <w:left w:w="28" w:type="dxa"/>
          <w:bottom w:w="28" w:type="dxa"/>
          <w:right w:w="28" w:type="dxa"/>
        </w:tblCellMar>
      </w:tblPr>
      <w:tblGrid>
        <w:gridCol w:w="2356"/>
        <w:gridCol w:w="392"/>
        <w:gridCol w:w="783"/>
        <w:gridCol w:w="271"/>
        <w:gridCol w:w="271"/>
        <w:gridCol w:w="392"/>
        <w:gridCol w:w="783"/>
        <w:gridCol w:w="146"/>
        <w:gridCol w:w="146"/>
        <w:gridCol w:w="319"/>
        <w:gridCol w:w="863"/>
        <w:gridCol w:w="220"/>
        <w:gridCol w:w="220"/>
        <w:gridCol w:w="319"/>
        <w:gridCol w:w="863"/>
        <w:gridCol w:w="391"/>
      </w:tblGrid>
      <w:tr>
        <w:trPr/>
        <w:tc>
          <w:tcPr>
            <w:tcW w:w="235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56" w:type="dxa"/>
            <w:tcBorders/>
            <w:shd w:fill="FFFFFF" w:val="clear"/>
            <w:vAlign w:val="center"/>
          </w:tcPr>
          <w:p>
            <w:pPr>
              <w:pStyle w:val="TableContents"/>
              <w:bidi w:val="0"/>
              <w:spacing w:before="0" w:after="283"/>
              <w:jc w:val="left"/>
              <w:rPr/>
            </w:pPr>
            <w:r>
              <w:rPr/>
              <w:t> </w:t>
            </w:r>
          </w:p>
        </w:tc>
        <w:tc>
          <w:tcPr>
            <w:tcW w:w="28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8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FFFFFF" w:val="clear"/>
            <w:vAlign w:val="center"/>
          </w:tcPr>
          <w:p>
            <w:pPr>
              <w:pStyle w:val="TableContents"/>
              <w:bidi w:val="0"/>
              <w:spacing w:before="0" w:after="283"/>
              <w:jc w:val="left"/>
              <w:rPr/>
            </w:pPr>
            <w:r>
              <w:rPr/>
              <w:t> </w:t>
            </w:r>
          </w:p>
        </w:tc>
        <w:tc>
          <w:tcPr>
            <w:tcW w:w="11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1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Revenue:</w:t>
            </w:r>
          </w:p>
        </w:tc>
        <w:tc>
          <w:tcPr>
            <w:tcW w:w="1175" w:type="dxa"/>
            <w:gridSpan w:val="2"/>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17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82" w:type="dxa"/>
            <w:gridSpan w:val="2"/>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1182"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35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United States</w:t>
            </w:r>
          </w:p>
        </w:tc>
        <w:tc>
          <w:tcPr>
            <w:tcW w:w="39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448</w:t>
            </w:r>
          </w:p>
        </w:tc>
        <w:tc>
          <w:tcPr>
            <w:tcW w:w="271"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right"/>
              <w:rPr/>
            </w:pPr>
            <w:r>
              <w:rPr/>
              <w:t> </w:t>
            </w:r>
          </w:p>
        </w:tc>
        <w:tc>
          <w:tcPr>
            <w:tcW w:w="39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1,331</w:t>
            </w:r>
          </w:p>
        </w:tc>
        <w:tc>
          <w:tcPr>
            <w:tcW w:w="22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right"/>
              <w:rPr/>
            </w:pPr>
            <w:r>
              <w:rPr/>
              <w:t> </w:t>
            </w:r>
          </w:p>
        </w:tc>
        <w:tc>
          <w:tcPr>
            <w:tcW w:w="31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1,177</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35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Canada</w:t>
            </w:r>
          </w:p>
        </w:tc>
        <w:tc>
          <w:tcPr>
            <w:tcW w:w="392" w:type="dxa"/>
            <w:tcBorders/>
            <w:shd w:fill="CFF0FC" w:val="clear"/>
            <w:vAlign w:val="center"/>
          </w:tcPr>
          <w:p>
            <w:pPr>
              <w:pStyle w:val="TableContents"/>
              <w:bidi w:val="0"/>
              <w:spacing w:before="0" w:after="283"/>
              <w:jc w:val="left"/>
              <w:rPr/>
            </w:pPr>
            <w:r>
              <w:rPr/>
              <w:t> </w:t>
            </w:r>
          </w:p>
        </w:tc>
        <w:tc>
          <w:tcPr>
            <w:tcW w:w="78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w:t>
            </w:r>
          </w:p>
        </w:tc>
        <w:tc>
          <w:tcPr>
            <w:tcW w:w="271"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right"/>
              <w:rPr/>
            </w:pPr>
            <w:r>
              <w:rPr/>
              <w:t> </w:t>
            </w:r>
          </w:p>
        </w:tc>
        <w:tc>
          <w:tcPr>
            <w:tcW w:w="392" w:type="dxa"/>
            <w:tcBorders/>
            <w:shd w:fill="CFF0FC" w:val="clear"/>
            <w:vAlign w:val="center"/>
          </w:tcPr>
          <w:p>
            <w:pPr>
              <w:pStyle w:val="TableContents"/>
              <w:bidi w:val="0"/>
              <w:spacing w:before="0" w:after="283"/>
              <w:jc w:val="left"/>
              <w:rPr/>
            </w:pPr>
            <w:r>
              <w:rPr/>
              <w:t> </w:t>
            </w:r>
          </w:p>
        </w:tc>
        <w:tc>
          <w:tcPr>
            <w:tcW w:w="78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217</w:t>
            </w:r>
          </w:p>
        </w:tc>
        <w:tc>
          <w:tcPr>
            <w:tcW w:w="220"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right"/>
              <w:rPr/>
            </w:pPr>
            <w:r>
              <w:rPr/>
              <w:t> </w:t>
            </w:r>
          </w:p>
        </w:tc>
        <w:tc>
          <w:tcPr>
            <w:tcW w:w="319"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35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International</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righ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218</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righ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revenue</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588</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right"/>
              <w:rPr/>
            </w:pPr>
            <w:r>
              <w:rPr/>
              <w:t> </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1,766</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righ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profit (loss):</w:t>
            </w:r>
          </w:p>
        </w:tc>
        <w:tc>
          <w:tcPr>
            <w:tcW w:w="1175"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17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220" w:type="dxa"/>
            <w:tcBorders/>
            <w:shd w:fill="FFFFFF" w:val="clear"/>
            <w:vAlign w:val="center"/>
          </w:tcPr>
          <w:p>
            <w:pPr>
              <w:pStyle w:val="TableContents"/>
              <w:bidi w:val="0"/>
              <w:spacing w:before="0" w:after="283"/>
              <w:jc w:val="right"/>
              <w:rPr/>
            </w:pPr>
            <w:r>
              <w:rPr/>
              <w:t> </w:t>
            </w:r>
          </w:p>
        </w:tc>
        <w:tc>
          <w:tcPr>
            <w:tcW w:w="220" w:type="dxa"/>
            <w:tcBorders/>
            <w:shd w:fill="FFFFFF" w:val="clear"/>
            <w:vAlign w:val="center"/>
          </w:tcPr>
          <w:p>
            <w:pPr>
              <w:pStyle w:val="TableContents"/>
              <w:bidi w:val="0"/>
              <w:spacing w:before="0" w:after="283"/>
              <w:jc w:val="righ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235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United States</w:t>
            </w:r>
          </w:p>
        </w:tc>
        <w:tc>
          <w:tcPr>
            <w:tcW w:w="39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w:t>
            </w:r>
          </w:p>
        </w:tc>
        <w:tc>
          <w:tcPr>
            <w:tcW w:w="271"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right"/>
              <w:rPr/>
            </w:pPr>
            <w:r>
              <w:rPr/>
              <w:t> </w:t>
            </w:r>
          </w:p>
        </w:tc>
        <w:tc>
          <w:tcPr>
            <w:tcW w:w="39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w:t>
            </w:r>
          </w:p>
        </w:tc>
        <w:tc>
          <w:tcPr>
            <w:tcW w:w="220"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right"/>
              <w:rPr/>
            </w:pPr>
            <w:r>
              <w:rPr/>
              <w:t> </w:t>
            </w:r>
          </w:p>
        </w:tc>
        <w:tc>
          <w:tcPr>
            <w:tcW w:w="31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35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Canada</w:t>
            </w:r>
          </w:p>
        </w:tc>
        <w:tc>
          <w:tcPr>
            <w:tcW w:w="39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w:t>
            </w:r>
          </w:p>
        </w:tc>
        <w:tc>
          <w:tcPr>
            <w:tcW w:w="271"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right"/>
              <w:rPr/>
            </w:pPr>
            <w:r>
              <w:rPr/>
              <w:t> </w:t>
            </w:r>
          </w:p>
        </w:tc>
        <w:tc>
          <w:tcPr>
            <w:tcW w:w="392"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w:t>
            </w:r>
          </w:p>
        </w:tc>
        <w:tc>
          <w:tcPr>
            <w:tcW w:w="22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right"/>
              <w:rPr/>
            </w:pPr>
            <w:r>
              <w:rPr/>
              <w:t> </w:t>
            </w:r>
          </w:p>
        </w:tc>
        <w:tc>
          <w:tcPr>
            <w:tcW w:w="319"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35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International</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righ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righ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3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operating profit (loss)</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right"/>
              <w:rPr/>
            </w:pPr>
            <w:r>
              <w:rPr/>
              <w:t> </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righ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val="false"/>
          <w:i/>
          <w:color w:val="000000"/>
          <w:sz w:val="20"/>
        </w:rPr>
      </w:pPr>
      <w:r>
        <w:rPr>
          <w:rFonts w:ascii="Times New Roman" w:hAnsi="Times New Roman"/>
          <w:b w:val="false"/>
          <w:i/>
          <w:color w:val="000000"/>
          <w:sz w:val="20"/>
        </w:rPr>
        <w:t>United States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For the three and nine months ended September 30, 2023, revenue was $448 million and $1,331 million, an increase of $13 million or 3.0% and $154 million or 13.1%, respectively, when compared to the corresponding periods of 2022. For the three months ended September 30, 2023, the increase was primarily driven by incremental revenue from acquisitions completed in the fourth quarter of 2022 and the second quarter of 2023, partially offset by the weakening in U.S. drilling and completions activity. For the nine months ended September 30, 2023, the increase was primarily driven by incremental revenue from acquisitions completed in 2022 and 2023, coupled with the modest strengthening in U.S. drilling and completions activity.</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19</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For the three and nine months ended September 30, 2023, the U.S. generated an operating profit of $29 million and $81 million, a decline of $2 million and an increase of $4 million, respectively, when compared to the corresponding periods of 2022. For the three months ended September 30, 2023, operating profit decreased primarily due to a decrease in product margins. For the nine months ended September 30, 2023, operating profit increased primarily due to the increase in revenue discussed above, partially offset by higher employee-related expenses supporting the revenue growth.</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Canada</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For the three and nine months ended September 30, 2023, revenue was $68 million and $217 million, a decline of $18 million or 20.9% and $23 million or 9.6%, respectively, when compared to the corresponding periods of 2022. For the three months ended September 30, 2023, the decrease was primarily driven by the decrease in Canadian rig count, coupled with unfavorable foreign exchange rate impact. For the nine months ended September 30, 2023, the decrease was primarily driven by unfavorable foreign exchange rate impact.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For the three and nine months ended September 30, 2023, Canada generated an operating profit of $6 million and $17 million, a decline of $4 million and $6 million, respectively, when compared to the corresponding periods of 2022. For the three and nine months ended September 30, 2023, operating profit decreased primarily due to the decline in revenue discussed above.</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International</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For the three and nine months ended September 30, 2023, revenue was $72 million and $218 million, an increase of $16 million or 28.6% and $46 million or 26.7%, respectively, when compared to the corresponding periods of 2022. For the three and nine months ended September 30, 2023, the increases were primarily driven by stronger project activity and the increase in international rig count.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For the three and nine months ended September 30, 2023, the International segment generated an operating profit of $2 million and $10 million, a decline of $1 million and an increase of $14 million, respectively, when compared to the corresponding periods of 2022. For the three months ended September 30, 2023, operating profit decreased primarily due to a decrease in product margins. For the nine months ended September 30, 2023, operating profit increased primarily due to the increase in revenue discussed above and as a result of $10 million of impairment and other charges recognized in the second quarter of 2022 that did not repeat.</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Cost of products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For the three and nine months ended September 30, 2023, cost of products was $454 million and $1,361 million, respectively, compared to $438 million and $1,215 million, respectively, for the corresponding periods of 2022. For the three and nine months ended September 30, 2023, the increases were primarily due to the increases in revenue in the periods</w:t>
      </w:r>
      <w:r>
        <w:rPr>
          <w:rFonts w:ascii="Times New Roman" w:hAnsi="Times New Roman"/>
          <w:b w:val="false"/>
          <w:color w:val="FF0000"/>
          <w:sz w:val="20"/>
        </w:rPr>
        <w:t>.</w:t>
      </w:r>
      <w:r>
        <w:rPr>
          <w:rFonts w:ascii="Times New Roman" w:hAnsi="Times New Roman"/>
          <w:color w:val="000000"/>
          <w:sz w:val="20"/>
        </w:rPr>
        <w:t xml:space="preserve"> </w:t>
      </w:r>
      <w:r>
        <w:rPr>
          <w:rFonts w:ascii="Times New Roman" w:hAnsi="Times New Roman"/>
          <w:b w:val="false"/>
          <w:color w:val="000000"/>
          <w:sz w:val="20"/>
        </w:rPr>
        <w:t>Cost of products includes the cost of inventory sold and items, such as vendor consideration, inventory allowances, amortization of intangibles and inbound and outbound freight.</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Warehousing, selling and administrative expenses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For the three and nine months ended September 30, 2023, warehousing, selling and administrative expenses were $97 million and $297 million, respectively, compared to $95 million and $268 million, respectively, for the corresponding periods of 2022. For the three and nine months ended September 30, 2023, the increase was primarily driven by an increase in employee-related expenses supporting the revenue growth. Warehousing, selling and administrative expenses include branch location, distribution center and regional expenses (including costs such as compensation, benefits and rent) as well as corporate general selling and administrative expenses.</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Impairment and other charges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For the three and nine months ended September 30, 2023, impairment and other charges were nil in both periods, compared to nil and $10 million, respectively, for the corresponding periods of 2022. For the nine months ended September 30, 2022, the Company recognized approximately $10 million of foreign currency translation losses as a result of substantially completing the liquidation of certain foreign subsidiaries in the International segment.</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Other income (expense)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For the three and nine months ended September 30, 2023, the Company recorded expense of nil and $1 million, respectively, compared to expense of less than $1 million and income of $9 million, respectively, for the corresponding periods of 2022. For the nine months ended September 30, 2022, other income was primarily attributable to a benefit related to the decrease of contingent consideration liability associated with a prior acquisition, partially offset by unfavorable foreign exchange rate impacts.</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Income tax provision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effective tax rates for the three and nine months ended September 30, 2023, were 5.4% and 5.6%,</w:t>
      </w:r>
      <w:r>
        <w:rPr>
          <w:rFonts w:ascii="Times New Roman" w:hAnsi="Times New Roman"/>
          <w:color w:val="FF0000"/>
          <w:sz w:val="20"/>
        </w:rPr>
        <w:t xml:space="preserve"> </w:t>
      </w:r>
      <w:r>
        <w:rPr>
          <w:rFonts w:ascii="Times New Roman" w:hAnsi="Times New Roman"/>
          <w:b w:val="false"/>
          <w:color w:val="000000"/>
          <w:sz w:val="20"/>
        </w:rPr>
        <w:t>respectively, compared to 6.8% and 7.6%, respectively, for the corresponding periods of 2022. In general, the effective tax rate differs from the U.S. statutory rate due to recurring items, such as differing tax rates on income earned in foreign jurisdictions, nondeductible expenses, state income taxes and the change in valuation allowance recorded against deferred tax assets. For the three and nine months ended September 30, 2023, the effective tax rate was primarily driven by the recognition of tax expense from earnings in Canada and the United Kingdom and by current year realization of deferred tax assets and corresponding release of valuation allowance in the U.S.</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20</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Non-GAAP Financial Measure and Reconciliation</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an effort to provide investors with additional information regarding our results of operations as determined by GAAP, we disclose non-GAAP financial measures. The primary non-GAAP financial measure we disclose is earnings before interest, taxes, depreciation and amortization, excluding other costs (“EBITDA excluding other costs”). This financial measure excludes the impact of certain amounts and is not calculated in accordance with GAAP. A reconciliation of this non-GAAP financial measure, to its most comparable GAAP financial measure, is included below.</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use EBITDA excluding other costs internally to evaluate and manage the Company’s operations because we believe it provides useful supplemental information regarding the Company’s ongoing operating performance. We have chosen to provide this information to investors to enable them to perform more meaningful comparisons of operating results.</w:t>
      </w:r>
    </w:p>
    <w:p>
      <w:pPr>
        <w:pStyle w:val="TextBody"/>
        <w:bidi w:val="0"/>
        <w:spacing w:before="120" w:after="240"/>
        <w:jc w:val="left"/>
        <w:rPr>
          <w:rFonts w:ascii="Times New Roman" w:hAnsi="Times New Roman"/>
          <w:sz w:val="20"/>
        </w:rPr>
      </w:pPr>
      <w:r>
        <w:rPr>
          <w:rFonts w:ascii="Times New Roman" w:hAnsi="Times New Roman"/>
          <w:b w:val="false"/>
          <w:color w:val="000000"/>
          <w:sz w:val="20"/>
        </w:rPr>
        <w:t>The following table sets forth the reconciliations of EBITDA excluding other costs to the most comparable GAAP financial measures (</w:t>
      </w:r>
      <w:r>
        <w:rPr>
          <w:rFonts w:ascii="Times New Roman" w:hAnsi="Times New Roman"/>
          <w:b w:val="false"/>
          <w:i/>
          <w:color w:val="000000"/>
          <w:sz w:val="20"/>
        </w:rPr>
        <w:t>in millions</w:t>
      </w:r>
      <w:r>
        <w:rPr>
          <w:rFonts w:ascii="Times New Roman" w:hAnsi="Times New Roman"/>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3838"/>
        <w:gridCol w:w="146"/>
        <w:gridCol w:w="355"/>
        <w:gridCol w:w="608"/>
        <w:gridCol w:w="456"/>
        <w:gridCol w:w="245"/>
        <w:gridCol w:w="355"/>
        <w:gridCol w:w="608"/>
        <w:gridCol w:w="271"/>
        <w:gridCol w:w="146"/>
        <w:gridCol w:w="324"/>
        <w:gridCol w:w="646"/>
        <w:gridCol w:w="416"/>
        <w:gridCol w:w="223"/>
        <w:gridCol w:w="324"/>
        <w:gridCol w:w="646"/>
        <w:gridCol w:w="598"/>
      </w:tblGrid>
      <w:tr>
        <w:trPr/>
        <w:tc>
          <w:tcPr>
            <w:tcW w:w="38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83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2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57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3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center"/>
              <w:rPr/>
            </w:pPr>
            <w:r>
              <w:rPr/>
              <w:t> </w:t>
            </w:r>
          </w:p>
        </w:tc>
        <w:tc>
          <w:tcPr>
            <w:tcW w:w="9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3" w:type="dxa"/>
            <w:tcBorders/>
            <w:shd w:fill="FFFFFF" w:val="clear"/>
            <w:vAlign w:val="center"/>
          </w:tcPr>
          <w:p>
            <w:pPr>
              <w:pStyle w:val="TableContents"/>
              <w:bidi w:val="0"/>
              <w:spacing w:before="0" w:after="283"/>
              <w:jc w:val="center"/>
              <w:rPr/>
            </w:pPr>
            <w:r>
              <w:rPr/>
              <w:t> </w:t>
            </w:r>
          </w:p>
        </w:tc>
        <w:tc>
          <w:tcPr>
            <w:tcW w:w="9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38"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GAAP net income attributable to NOW Inc. </w:t>
            </w:r>
            <w:r>
              <w:rPr>
                <w:rFonts w:ascii="Times New Roman" w:hAnsi="Times New Roman"/>
                <w:b w:val="false"/>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0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w:t>
            </w:r>
          </w:p>
        </w:tc>
        <w:tc>
          <w:tcPr>
            <w:tcW w:w="45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0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w:t>
            </w:r>
          </w:p>
        </w:tc>
        <w:tc>
          <w:tcPr>
            <w:tcW w:w="41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32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w:t>
            </w:r>
          </w:p>
        </w:tc>
        <w:tc>
          <w:tcPr>
            <w:tcW w:w="598" w:type="dxa"/>
            <w:tcBorders/>
            <w:shd w:fill="CFF0FC" w:val="clear"/>
            <w:vAlign w:val="center"/>
          </w:tcPr>
          <w:p>
            <w:pPr>
              <w:pStyle w:val="TableContents"/>
              <w:bidi w:val="0"/>
              <w:spacing w:before="0" w:after="283"/>
              <w:ind w:left="0" w:right="0" w:firstLine="200"/>
              <w:jc w:val="left"/>
              <w:rPr/>
            </w:pPr>
            <w:r>
              <w:rPr/>
              <w:t> </w:t>
            </w:r>
          </w:p>
        </w:tc>
      </w:tr>
      <w:tr>
        <w:trPr/>
        <w:tc>
          <w:tcPr>
            <w:tcW w:w="3838"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income attributable to noncontrolling interest</w:t>
            </w:r>
          </w:p>
        </w:tc>
        <w:tc>
          <w:tcPr>
            <w:tcW w:w="146"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color w:val="000000"/>
              </w:rPr>
            </w:pPr>
            <w:r>
              <w:rPr>
                <w:color w:val="000000"/>
              </w:rPr>
              <w:t>—</w:t>
            </w:r>
          </w:p>
        </w:tc>
        <w:tc>
          <w:tcPr>
            <w:tcW w:w="45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4"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41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598" w:type="dxa"/>
            <w:tcBorders/>
            <w:shd w:fill="FFFFFF" w:val="clear"/>
            <w:vAlign w:val="center"/>
          </w:tcPr>
          <w:p>
            <w:pPr>
              <w:pStyle w:val="TableContents"/>
              <w:bidi w:val="0"/>
              <w:spacing w:before="0" w:after="283"/>
              <w:ind w:left="0" w:right="0" w:firstLine="200"/>
              <w:jc w:val="left"/>
              <w:rPr/>
            </w:pPr>
            <w:r>
              <w:rPr/>
              <w:t> </w:t>
            </w:r>
          </w:p>
        </w:tc>
      </w:tr>
      <w:tr>
        <w:trPr/>
        <w:tc>
          <w:tcPr>
            <w:tcW w:w="3838"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expense (income), net</w:t>
            </w:r>
          </w:p>
        </w:tc>
        <w:tc>
          <w:tcPr>
            <w:tcW w:w="146" w:type="dxa"/>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4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5" w:type="dxa"/>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24"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4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23" w:type="dxa"/>
            <w:tcBorders/>
            <w:shd w:fill="CFF0FC" w:val="clear"/>
            <w:vAlign w:val="center"/>
          </w:tcPr>
          <w:p>
            <w:pPr>
              <w:pStyle w:val="TableContents"/>
              <w:bidi w:val="0"/>
              <w:spacing w:before="0" w:after="283"/>
              <w:jc w:val="left"/>
              <w:rPr/>
            </w:pPr>
            <w:r>
              <w:rPr/>
              <w:t> </w:t>
            </w:r>
          </w:p>
        </w:tc>
        <w:tc>
          <w:tcPr>
            <w:tcW w:w="324"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598"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838"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Income tax provision</w:t>
            </w:r>
          </w:p>
        </w:tc>
        <w:tc>
          <w:tcPr>
            <w:tcW w:w="146"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45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4"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w:t>
            </w:r>
          </w:p>
        </w:tc>
        <w:tc>
          <w:tcPr>
            <w:tcW w:w="41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w:t>
            </w:r>
          </w:p>
        </w:tc>
        <w:tc>
          <w:tcPr>
            <w:tcW w:w="598" w:type="dxa"/>
            <w:tcBorders/>
            <w:shd w:fill="FFFFFF" w:val="clear"/>
            <w:vAlign w:val="center"/>
          </w:tcPr>
          <w:p>
            <w:pPr>
              <w:pStyle w:val="TableContents"/>
              <w:bidi w:val="0"/>
              <w:spacing w:before="0" w:after="283"/>
              <w:ind w:left="0" w:right="0" w:firstLine="200"/>
              <w:jc w:val="left"/>
              <w:rPr/>
            </w:pPr>
            <w:r>
              <w:rPr/>
              <w:t> </w:t>
            </w:r>
          </w:p>
        </w:tc>
      </w:tr>
      <w:tr>
        <w:trPr/>
        <w:tc>
          <w:tcPr>
            <w:tcW w:w="3838"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c>
          <w:tcPr>
            <w:tcW w:w="45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4"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w:t>
            </w:r>
          </w:p>
        </w:tc>
        <w:tc>
          <w:tcPr>
            <w:tcW w:w="41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324"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w:t>
            </w:r>
          </w:p>
        </w:tc>
        <w:tc>
          <w:tcPr>
            <w:tcW w:w="598" w:type="dxa"/>
            <w:tcBorders/>
            <w:shd w:fill="CFF0FC" w:val="clear"/>
            <w:vAlign w:val="center"/>
          </w:tcPr>
          <w:p>
            <w:pPr>
              <w:pStyle w:val="TableContents"/>
              <w:bidi w:val="0"/>
              <w:spacing w:before="0" w:after="283"/>
              <w:ind w:left="0" w:right="0" w:firstLine="200"/>
              <w:jc w:val="left"/>
              <w:rPr/>
            </w:pPr>
            <w:r>
              <w:rPr/>
              <w:t> </w:t>
            </w:r>
          </w:p>
        </w:tc>
      </w:tr>
      <w:tr>
        <w:trPr/>
        <w:tc>
          <w:tcPr>
            <w:tcW w:w="3838"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costs:</w:t>
            </w:r>
          </w:p>
        </w:tc>
        <w:tc>
          <w:tcPr>
            <w:tcW w:w="146" w:type="dxa"/>
            <w:tcBorders/>
            <w:shd w:fill="FFFFFF" w:val="clear"/>
            <w:vAlign w:val="center"/>
          </w:tcPr>
          <w:p>
            <w:pPr>
              <w:pStyle w:val="TableContents"/>
              <w:bidi w:val="0"/>
              <w:spacing w:before="0" w:after="283"/>
              <w:jc w:val="left"/>
              <w:rPr/>
            </w:pPr>
            <w:r>
              <w:rPr/>
              <w:t> </w:t>
            </w:r>
          </w:p>
        </w:tc>
        <w:tc>
          <w:tcPr>
            <w:tcW w:w="963" w:type="dxa"/>
            <w:gridSpan w:val="2"/>
            <w:tcBorders/>
            <w:shd w:fill="FFFFFF" w:val="clear"/>
            <w:vAlign w:val="center"/>
          </w:tcPr>
          <w:p>
            <w:pPr>
              <w:pStyle w:val="TableContents"/>
              <w:bidi w:val="0"/>
              <w:spacing w:before="0" w:after="283"/>
              <w:jc w:val="right"/>
              <w:rPr/>
            </w:pPr>
            <w:r>
              <w:rPr/>
              <w:t> </w:t>
            </w:r>
          </w:p>
        </w:tc>
        <w:tc>
          <w:tcPr>
            <w:tcW w:w="456"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963"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70" w:type="dxa"/>
            <w:gridSpan w:val="2"/>
            <w:tcBorders/>
            <w:shd w:fill="FFFFFF" w:val="clear"/>
            <w:vAlign w:val="center"/>
          </w:tcPr>
          <w:p>
            <w:pPr>
              <w:pStyle w:val="TableContents"/>
              <w:bidi w:val="0"/>
              <w:spacing w:before="0" w:after="283"/>
              <w:jc w:val="right"/>
              <w:rPr/>
            </w:pPr>
            <w:r>
              <w:rPr/>
              <w:t> </w:t>
            </w:r>
          </w:p>
        </w:tc>
        <w:tc>
          <w:tcPr>
            <w:tcW w:w="416" w:type="dxa"/>
            <w:tcBorders/>
            <w:shd w:fill="FFFFFF" w:val="clear"/>
            <w:vAlign w:val="center"/>
          </w:tcPr>
          <w:p>
            <w:pPr>
              <w:pStyle w:val="TableContents"/>
              <w:bidi w:val="0"/>
              <w:spacing w:before="0" w:after="283"/>
              <w:jc w:val="right"/>
              <w:rPr/>
            </w:pPr>
            <w:r>
              <w:rPr/>
              <w:t> </w:t>
            </w:r>
          </w:p>
        </w:tc>
        <w:tc>
          <w:tcPr>
            <w:tcW w:w="223" w:type="dxa"/>
            <w:tcBorders/>
            <w:shd w:fill="FFFFFF" w:val="clear"/>
            <w:vAlign w:val="center"/>
          </w:tcPr>
          <w:p>
            <w:pPr>
              <w:pStyle w:val="TableContents"/>
              <w:bidi w:val="0"/>
              <w:spacing w:before="0" w:after="283"/>
              <w:jc w:val="left"/>
              <w:rPr/>
            </w:pPr>
            <w:r>
              <w:rPr/>
              <w:t> </w:t>
            </w:r>
          </w:p>
        </w:tc>
        <w:tc>
          <w:tcPr>
            <w:tcW w:w="970" w:type="dxa"/>
            <w:gridSpan w:val="2"/>
            <w:tcBorders/>
            <w:shd w:fill="FFFFFF" w:val="clear"/>
            <w:vAlign w:val="center"/>
          </w:tcPr>
          <w:p>
            <w:pPr>
              <w:pStyle w:val="TableContents"/>
              <w:bidi w:val="0"/>
              <w:spacing w:before="0" w:after="283"/>
              <w:jc w:val="right"/>
              <w:rPr/>
            </w:pPr>
            <w:r>
              <w:rPr/>
              <w:t> </w:t>
            </w:r>
          </w:p>
        </w:tc>
        <w:tc>
          <w:tcPr>
            <w:tcW w:w="598" w:type="dxa"/>
            <w:tcBorders/>
            <w:shd w:fill="FFFFFF" w:val="clear"/>
            <w:vAlign w:val="center"/>
          </w:tcPr>
          <w:p>
            <w:pPr>
              <w:pStyle w:val="TableContents"/>
              <w:bidi w:val="0"/>
              <w:spacing w:before="0" w:after="283"/>
              <w:ind w:left="0" w:right="0" w:firstLine="400"/>
              <w:jc w:val="right"/>
              <w:rPr/>
            </w:pPr>
            <w:r>
              <w:rPr/>
              <w:t> </w:t>
            </w:r>
          </w:p>
        </w:tc>
      </w:tr>
      <w:tr>
        <w:trPr/>
        <w:tc>
          <w:tcPr>
            <w:tcW w:w="3838"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Stock-based compensation</w:t>
            </w:r>
          </w:p>
        </w:tc>
        <w:tc>
          <w:tcPr>
            <w:tcW w:w="146" w:type="dxa"/>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45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4"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w:t>
            </w:r>
          </w:p>
        </w:tc>
        <w:tc>
          <w:tcPr>
            <w:tcW w:w="41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324"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c>
          <w:tcPr>
            <w:tcW w:w="598" w:type="dxa"/>
            <w:tcBorders/>
            <w:shd w:fill="CFF0FC" w:val="clear"/>
            <w:vAlign w:val="center"/>
          </w:tcPr>
          <w:p>
            <w:pPr>
              <w:pStyle w:val="TableContents"/>
              <w:bidi w:val="0"/>
              <w:spacing w:before="0" w:after="283"/>
              <w:ind w:left="0" w:right="0" w:firstLine="400"/>
              <w:jc w:val="left"/>
              <w:rPr/>
            </w:pPr>
            <w:r>
              <w:rPr/>
              <w:t> </w:t>
            </w:r>
          </w:p>
        </w:tc>
      </w:tr>
      <w:tr>
        <w:trPr/>
        <w:tc>
          <w:tcPr>
            <w:tcW w:w="3838" w:type="dxa"/>
            <w:tcBorders/>
            <w:shd w:fill="FFFFFF" w:val="clear"/>
            <w:vAlign w:val="center"/>
          </w:tcPr>
          <w:p>
            <w:pPr>
              <w:pStyle w:val="TableContents"/>
              <w:bidi w:val="0"/>
              <w:spacing w:before="0" w:after="283"/>
              <w:ind w:left="400" w:right="0" w:firstLine="400"/>
              <w:jc w:val="left"/>
              <w:rPr>
                <w:rFonts w:ascii="Times New Roman" w:hAnsi="Times New Roman"/>
                <w:sz w:val="20"/>
              </w:rPr>
            </w:pPr>
            <w:r>
              <w:rPr>
                <w:rFonts w:ascii="Times New Roman" w:hAnsi="Times New Roman"/>
                <w:b w:val="false"/>
                <w:color w:val="000000"/>
                <w:sz w:val="20"/>
              </w:rPr>
              <w:t xml:space="preserve">Other </w:t>
            </w:r>
            <w:r>
              <w:rPr>
                <w:rFonts w:ascii="Times New Roman" w:hAnsi="Times New Roman"/>
                <w:b w:val="false"/>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3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EBITDA excluding other costs</w:t>
            </w:r>
          </w:p>
        </w:tc>
        <w:tc>
          <w:tcPr>
            <w:tcW w:w="146" w:type="dxa"/>
            <w:tcBorders/>
            <w:shd w:fill="CFF0FC" w:val="clear"/>
            <w:vAlign w:val="center"/>
          </w:tcPr>
          <w:p>
            <w:pPr>
              <w:pStyle w:val="TableContents"/>
              <w:bidi w:val="0"/>
              <w:spacing w:before="0" w:after="283"/>
              <w:jc w:val="left"/>
              <w:rPr/>
            </w:pPr>
            <w:r>
              <w:rPr/>
              <w:t> </w:t>
            </w:r>
          </w:p>
        </w:tc>
        <w:tc>
          <w:tcPr>
            <w:tcW w:w="3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w:t>
            </w:r>
          </w:p>
        </w:tc>
        <w:tc>
          <w:tcPr>
            <w:tcW w:w="4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3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128</w:t>
            </w:r>
          </w:p>
        </w:tc>
        <w:tc>
          <w:tcPr>
            <w:tcW w:w="5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3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 xml:space="preserve">EBITDA % excluding other costs </w:t>
            </w:r>
            <w:r>
              <w:rPr>
                <w:rFonts w:ascii="Times New Roman" w:hAnsi="Times New Roman"/>
                <w:b w:val="false"/>
                <w:color w:val="000000"/>
                <w:sz w:val="13"/>
              </w:rPr>
              <w:t>(3)</w:t>
            </w:r>
          </w:p>
        </w:tc>
        <w:tc>
          <w:tcPr>
            <w:tcW w:w="146"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w:t>
            </w:r>
          </w:p>
        </w:tc>
        <w:tc>
          <w:tcPr>
            <w:tcW w:w="4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5"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24"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w:t>
            </w:r>
          </w:p>
        </w:tc>
        <w:tc>
          <w:tcPr>
            <w:tcW w:w="4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23"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w:t>
            </w:r>
          </w:p>
        </w:tc>
        <w:tc>
          <w:tcPr>
            <w:tcW w:w="59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40" w:after="283"/>
        <w:jc w:val="left"/>
        <w:rPr>
          <w:rFonts w:ascii="Times New Roman" w:hAnsi="Times New Roman"/>
          <w:b w:val="false"/>
          <w:color w:val="000000"/>
          <w:sz w:val="19"/>
        </w:rPr>
      </w:pPr>
      <w:r>
        <w:rPr>
          <w:rFonts w:ascii="Times New Roman" w:hAnsi="Times New Roman"/>
          <w:b w:val="false"/>
          <w:color w:val="000000"/>
          <w:sz w:val="19"/>
        </w:rPr>
        <w:t>(1)</w:t>
      </w:r>
    </w:p>
    <w:p>
      <w:pPr>
        <w:pStyle w:val="TextBody"/>
        <w:bidi w:val="0"/>
        <w:spacing w:before="40" w:after="283"/>
        <w:jc w:val="left"/>
        <w:rPr>
          <w:rFonts w:ascii="Times New Roman" w:hAnsi="Times New Roman"/>
          <w:b w:val="false"/>
          <w:color w:val="000000"/>
          <w:sz w:val="19"/>
        </w:rPr>
      </w:pPr>
      <w:r>
        <w:rPr>
          <w:rFonts w:ascii="Times New Roman" w:hAnsi="Times New Roman"/>
          <w:b w:val="false"/>
          <w:color w:val="000000"/>
          <w:sz w:val="19"/>
        </w:rPr>
        <w:t>We believe that net income (loss) attributable to NOW Inc. is the financial measure calculated and presented in accordance with GAAP that is most directly comparable to EBITDA excluding other costs. EBITDA excluding other costs measures the Company’s operating performance without regard to certain expenses. EBITDA excluding other costs is not a presentation made in accordance with GAAP and the Company’s computation of EBITDA excluding other costs may vary from others in the industry. EBITDA excluding other costs has important limitations as an analytical tool and should not be considered in isolation or as a substitute for analysis of the Company’s results as reported under GAAP.</w:t>
      </w:r>
    </w:p>
    <w:p>
      <w:pPr>
        <w:pStyle w:val="TextBody"/>
        <w:bidi w:val="0"/>
        <w:spacing w:before="120" w:after="283"/>
        <w:jc w:val="left"/>
        <w:rPr>
          <w:rFonts w:ascii="Times New Roman" w:hAnsi="Times New Roman"/>
          <w:b w:val="false"/>
          <w:color w:val="000000"/>
          <w:sz w:val="19"/>
        </w:rPr>
      </w:pPr>
      <w:r>
        <w:rPr>
          <w:rFonts w:ascii="Times New Roman" w:hAnsi="Times New Roman"/>
          <w:b w:val="false"/>
          <w:color w:val="000000"/>
          <w:sz w:val="19"/>
        </w:rPr>
        <w:t>(2)</w:t>
      </w:r>
    </w:p>
    <w:p>
      <w:pPr>
        <w:pStyle w:val="TextBody"/>
        <w:bidi w:val="0"/>
        <w:spacing w:before="120" w:after="283"/>
        <w:jc w:val="left"/>
        <w:rPr>
          <w:rFonts w:ascii="Times New Roman" w:hAnsi="Times New Roman"/>
          <w:b w:val="false"/>
          <w:color w:val="000000"/>
          <w:sz w:val="19"/>
        </w:rPr>
      </w:pPr>
      <w:r>
        <w:rPr>
          <w:rFonts w:ascii="Times New Roman" w:hAnsi="Times New Roman"/>
          <w:b w:val="false"/>
          <w:color w:val="000000"/>
          <w:sz w:val="19"/>
        </w:rPr>
        <w:t xml:space="preserve">For the nine months ended September 30, 2023, Other of approximately $6 million, included in warehousing, selling and administrative, was related to legal fees for litigation matters that were not ordinary or routine to the operations of the business where the Company is seeking damages, and separation and transaction-related charges. </w:t>
      </w:r>
    </w:p>
    <w:p>
      <w:pPr>
        <w:pStyle w:val="TextBody"/>
        <w:bidi w:val="0"/>
        <w:spacing w:before="120" w:after="283"/>
        <w:jc w:val="left"/>
        <w:rPr>
          <w:rFonts w:ascii="Times New Roman" w:hAnsi="Times New Roman"/>
          <w:b w:val="false"/>
          <w:color w:val="000000"/>
          <w:sz w:val="19"/>
        </w:rPr>
      </w:pPr>
      <w:r>
        <w:rPr>
          <w:rFonts w:ascii="Times New Roman" w:hAnsi="Times New Roman"/>
          <w:b w:val="false"/>
          <w:color w:val="000000"/>
          <w:sz w:val="19"/>
        </w:rPr>
        <w:t>(3)</w:t>
      </w:r>
    </w:p>
    <w:p>
      <w:pPr>
        <w:pStyle w:val="TextBody"/>
        <w:bidi w:val="0"/>
        <w:spacing w:before="120" w:after="283"/>
        <w:jc w:val="left"/>
        <w:rPr/>
      </w:pPr>
      <w:r>
        <w:rPr>
          <w:rFonts w:ascii="Times New Roman" w:hAnsi="Times New Roman"/>
          <w:b w:val="false"/>
          <w:color w:val="000000"/>
          <w:sz w:val="19"/>
        </w:rPr>
        <w:t>EBITDA % excluding other costs is defined as EBITDA excluding other costs divided by Revenue.</w:t>
        <w:br/>
      </w:r>
      <w:r>
        <w:rPr>
          <w:color w:val="000000"/>
        </w:rPr>
        <w:t> </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21</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assess liquidity in terms of our ability to generate cash to fund operating, investing and financing activities. We expect resources to be available to reinvest in existing businesses, strategic acquisitions and capital expenditures to meet short and long-term objectives. We believe that cash on hand, cash generated from expected results of operations and amounts available under our revolving credit facility will be sufficient to fund operations, anticipated working capital needs and other cash requirements, including capital expenditures and our share repurchase program.</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September 30, 2023 and December 31, 2022, we had cash and cash equivalents of $194 million and $212 million, respectively. As of September 30, 2023, $67 million of our cash and cash equivalents were maintained in the accounts of our various foreign subsidiaries. During the first nine months of 2023, we repatriated $18 million from our foreign subsidiaries. The Company makes a determination each period concerning its intent and ability to indefinitely reinvest the cash held by its foreign subsidiaries. The Company has not recorded deferred income taxes on undistributed foreign earnings that it considers to be indefinitely reinvested. Future changes to our indefinite reinvestment assertion could result in additional taxes (withholding and/or state taxes), offset by any available foreign tax credits.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maintain a $500 million five-year senior secured revolving credit facility that will mature on December 14, 2026. Availability under the revolving credit facility is determined by a borrowing base comprised of eligible receivables, eligible inventory and certain cash deposits in the U.S. and Canada. As of September 30, 2023, we had no borrowings against our revolving credit facility, and had approximately $478 million in availability (as defined in the Credit Agreement) resulting in the excess availability (as defined in the Credit Agreement) of 99%, subject to certain restrictions. Availability excluding certain cash deposits was approximately $353 million. Borrowings that result in the excess availability dropping below the greater of 10% of the borrowing base or $40 million are conditioned upon compliance with or waiver of a minimum fixed charge ratio (as defined in the Credit Agreement). The credit facility contains usual and customary affirmative and negative covenants for credit facilities of this type including financial covenants. As of September 30, 2023, we were in compliance with all covenants. We continuously monitor compliance with debt covenants. A default, if not waived or amended, would prevent us from taking certain actions, such as incurring additional debt.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are often party to certain transactions that require off-balance sheet arrangements such as standby letters of credit and performance bonds and guarantees that are not reflected in our consolidated balance sheets. These arrangements are made in our normal course of business and they are not reasonably likely to have a current or future material adverse effect on our financial condition, results of operations, liquidity or cash flows.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 xml:space="preserve">The following table summarizes our net cash flows provided by (used in) operating activities, investing activities and financing activities for the periods presented </w:t>
      </w:r>
      <w:r>
        <w:rPr>
          <w:rFonts w:ascii="Times New Roman" w:hAnsi="Times New Roman"/>
          <w:b w:val="false"/>
          <w:i/>
          <w:color w:val="000000"/>
          <w:sz w:val="20"/>
        </w:rPr>
        <w:t>(in millions):</w:t>
      </w:r>
    </w:p>
    <w:tbl>
      <w:tblPr>
        <w:tblW w:w="7375" w:type="dxa"/>
        <w:jc w:val="left"/>
        <w:tblInd w:w="0" w:type="dxa"/>
        <w:tblLayout w:type="fixed"/>
        <w:tblCellMar>
          <w:top w:w="28" w:type="dxa"/>
          <w:left w:w="28" w:type="dxa"/>
          <w:bottom w:w="28" w:type="dxa"/>
          <w:right w:w="28" w:type="dxa"/>
        </w:tblCellMar>
      </w:tblPr>
      <w:tblGrid>
        <w:gridCol w:w="4216"/>
        <w:gridCol w:w="146"/>
        <w:gridCol w:w="398"/>
        <w:gridCol w:w="709"/>
        <w:gridCol w:w="313"/>
        <w:gridCol w:w="275"/>
        <w:gridCol w:w="398"/>
        <w:gridCol w:w="709"/>
        <w:gridCol w:w="21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8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5" w:type="dxa"/>
            <w:tcBorders/>
            <w:shd w:fill="FFFFFF" w:val="clear"/>
            <w:vAlign w:val="center"/>
          </w:tcPr>
          <w:p>
            <w:pPr>
              <w:pStyle w:val="TableContents"/>
              <w:bidi w:val="0"/>
              <w:spacing w:before="0" w:after="283"/>
              <w:jc w:val="center"/>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provided by (used in) operating activities</w:t>
            </w:r>
          </w:p>
        </w:tc>
        <w:tc>
          <w:tcPr>
            <w:tcW w:w="146" w:type="dxa"/>
            <w:tcBorders/>
            <w:shd w:fill="CFF0FC" w:val="clear"/>
            <w:vAlign w:val="center"/>
          </w:tcPr>
          <w:p>
            <w:pPr>
              <w:pStyle w:val="TableContents"/>
              <w:bidi w:val="0"/>
              <w:spacing w:before="0" w:after="283"/>
              <w:jc w:val="left"/>
              <w:rPr/>
            </w:pPr>
            <w:r>
              <w:rPr/>
              <w:t> </w:t>
            </w:r>
          </w:p>
        </w:tc>
        <w:tc>
          <w:tcPr>
            <w:tcW w:w="39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0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w:t>
            </w:r>
          </w:p>
        </w:tc>
        <w:tc>
          <w:tcPr>
            <w:tcW w:w="313"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right"/>
              <w:rPr/>
            </w:pPr>
            <w:r>
              <w:rPr/>
              <w:t> </w:t>
            </w:r>
          </w:p>
        </w:tc>
        <w:tc>
          <w:tcPr>
            <w:tcW w:w="39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0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2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provided by (used in) investing activities</w:t>
            </w:r>
          </w:p>
        </w:tc>
        <w:tc>
          <w:tcPr>
            <w:tcW w:w="146"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0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w:t>
            </w:r>
          </w:p>
        </w:tc>
        <w:tc>
          <w:tcPr>
            <w:tcW w:w="31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75" w:type="dxa"/>
            <w:tcBorders/>
            <w:shd w:fill="FFFFFF" w:val="clear"/>
            <w:vAlign w:val="center"/>
          </w:tcPr>
          <w:p>
            <w:pPr>
              <w:pStyle w:val="TableContents"/>
              <w:bidi w:val="0"/>
              <w:spacing w:before="0" w:after="283"/>
              <w:jc w:val="right"/>
              <w:rPr/>
            </w:pPr>
            <w:r>
              <w:rPr/>
              <w:t> </w:t>
            </w:r>
          </w:p>
        </w:tc>
        <w:tc>
          <w:tcPr>
            <w:tcW w:w="39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0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2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provided by (used in) financing activities</w:t>
            </w:r>
          </w:p>
        </w:tc>
        <w:tc>
          <w:tcPr>
            <w:tcW w:w="146" w:type="dxa"/>
            <w:tcBorders/>
            <w:shd w:fill="CFF0FC" w:val="clear"/>
            <w:vAlign w:val="center"/>
          </w:tcPr>
          <w:p>
            <w:pPr>
              <w:pStyle w:val="TableContents"/>
              <w:bidi w:val="0"/>
              <w:spacing w:before="0" w:after="283"/>
              <w:jc w:val="left"/>
              <w:rPr/>
            </w:pPr>
            <w:r>
              <w:rPr/>
              <w:t> </w:t>
            </w:r>
          </w:p>
        </w:tc>
        <w:tc>
          <w:tcPr>
            <w:tcW w:w="39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0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w:t>
            </w:r>
          </w:p>
        </w:tc>
        <w:tc>
          <w:tcPr>
            <w:tcW w:w="31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75" w:type="dxa"/>
            <w:tcBorders/>
            <w:shd w:fill="CFF0FC" w:val="clear"/>
            <w:vAlign w:val="center"/>
          </w:tcPr>
          <w:p>
            <w:pPr>
              <w:pStyle w:val="TableContents"/>
              <w:bidi w:val="0"/>
              <w:spacing w:before="0" w:after="283"/>
              <w:jc w:val="right"/>
              <w:rPr/>
            </w:pPr>
            <w:r>
              <w:rPr/>
              <w:t> </w:t>
            </w:r>
          </w:p>
        </w:tc>
        <w:tc>
          <w:tcPr>
            <w:tcW w:w="39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0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b w:val="false"/>
          <w:i/>
          <w:color w:val="000000"/>
          <w:sz w:val="20"/>
        </w:rPr>
      </w:pPr>
      <w:r>
        <w:rPr>
          <w:rFonts w:ascii="Times New Roman" w:hAnsi="Times New Roman"/>
          <w:b w:val="false"/>
          <w:i/>
          <w:color w:val="000000"/>
          <w:sz w:val="20"/>
        </w:rPr>
        <w:t>Operating Activities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For the nine months ended September 30, 2023, net cash provided by operating activities was $83 million compared to $6 million used in operating activities in the corresponding period of 2022.</w:t>
      </w:r>
      <w:r>
        <w:rPr>
          <w:rFonts w:ascii="Times New Roman" w:hAnsi="Times New Roman"/>
          <w:color w:val="FF0000"/>
          <w:sz w:val="20"/>
        </w:rPr>
        <w:t xml:space="preserve"> </w:t>
      </w:r>
      <w:r>
        <w:rPr>
          <w:rFonts w:ascii="Times New Roman" w:hAnsi="Times New Roman"/>
          <w:b w:val="false"/>
          <w:color w:val="000000"/>
          <w:sz w:val="20"/>
        </w:rPr>
        <w:t>For the nine months ended September 30, 2023, net cash provided by operating activities was primarily driven by $101 million of net income, plus $49 million of reconciling adjustments, primarily depreciation, amortization and stock-based compensation, partially offset by a net increase of $67 million in working capital. For the nine months ended September 30, 2023, the improvement in operating cash flow activities was primarily driven by $70 million lower cash consumption for net working capital compared to the corresponding period of 2022.</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Investing Activities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For the nine months ended September 30, 2023, net cash used in investing activities was $47 million compared to $26 million used in investing activities in the corresponding period of 2022. For the nine months ended September 30, 2023, net cash used in investing activities was primarily related to business acquisitions of approximately $33 million and capital expenditures of $15 million. For the nine months ended September 30, 2022, net cash used in investing activities was primarily due to a business acquisition of $21 million and capital expenditures of $7 million.</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22</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Financing Activities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For the nine months ended September 30, 2023, net cash used in financing activities was $54 million compared to $5 million used in financing activities in the corresponding period of 2022. For the nine months ended September 30, 2023, net cash used in financing activities was primarily attributable to the Company's payment of approximately $49 million for share repurchases compared to $4 million in the corresponding period of 2022.</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Other</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For the nine months ended September 30, 2023, the effect of the change in exchange rates on cash and cash equivalents was nil compared to a decrease of $9 million for the corresponding period of 2022.</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Capital Spending</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intend to pursue additional acquisition candidates, but the timing, size or success of any acquisition effort and the related potential capital commitments cannot be predicted. We continue to expect to fund future cash acquisitions primarily with cash on hand, cash flow from operations and the usage of the available portion of the revolving credit facility. There can be no assurance that additional financing will be available at terms acceptable to us.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Share Repurchase Program</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On August 3, 2022, the Company’s Board of Directors approved a share repurchase program, under which the Company is authorized to purchase up to $80 million of its outstanding common stock through December 31, 2024. We expect to fund share repurchases primarily with cash on hand, cash flow from operations and the usage of the available portion of the revolving credit facility. The timing and amount of any repurchases will be made at our discretion, taking into account a number of factors, including market conditions. For the nine months ended September 30, 2023, we repurchased 4,456,172 shares of our common stock for a total of $49 million. As of September 30, 2023, we had approximately $24 million remaining under the program’s authorization.</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For a discussion of the critical accounting policies and estimates that we use in the preparation of our consolidated financial statements, see “Management’s Discussion and Analysis of Financial Condition and Results of Operations” included in our Annual Report on Form 10-K. In preparing the financial statements, the Company makes assumptions, estimates and judgments that affect the amounts reported. The Company periodically evaluates its estimates and judgments that are most critical in nature, which are related to allowance for doubtful accounts, inventory reserves, purchase price allocation of acquisitions, vendor consideration and income taxes. Its estimates are based on historical experience and on its future expectations that the Company believes are reasonable. The combination of these factors forms the basis for making judgments about the carrying values of assets and liabilities that are not readily apparent from other sources. Actual results are likely to differ from our current estimates and those differences may be material.</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23</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1" w:name="item_3_quantitative_qualitative_disclosu"/>
      <w:bookmarkEnd w:id="11"/>
      <w:r>
        <w:rPr>
          <w:rFonts w:ascii="Times New Roman" w:hAnsi="Times New Roman"/>
          <w:b/>
          <w:color w:val="000000"/>
          <w:sz w:val="20"/>
        </w:rPr>
        <w:t>Item 3. Quantitative and Qualitative Disclosures About Market Risk</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are exposed to certain market risks that are inherent in our financial instruments and arise from changes in interest rates and foreign currency exchange rates. We may enter into derivative financial instrument transactions to manage or reduce market risk but do not enter into derivative financial instrument transactions for speculative purposes. We do not currently have any material outstanding derivative instruments. See Note 14 “Derivative Financial Instruments” to the consolidated financial statements.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discussion of our primary market risk exposure in financial instruments is presented below.</w:t>
      </w:r>
    </w:p>
    <w:p>
      <w:pPr>
        <w:pStyle w:val="TextBody"/>
        <w:bidi w:val="0"/>
        <w:spacing w:before="240" w:after="283"/>
        <w:jc w:val="left"/>
        <w:rPr>
          <w:rFonts w:ascii="Times New Roman" w:hAnsi="Times New Roman"/>
          <w:b w:val="false"/>
          <w:i/>
          <w:color w:val="000000"/>
          <w:sz w:val="20"/>
        </w:rPr>
      </w:pPr>
      <w:r>
        <w:rPr>
          <w:rFonts w:ascii="Times New Roman" w:hAnsi="Times New Roman"/>
          <w:b w:val="false"/>
          <w:i/>
          <w:color w:val="000000"/>
          <w:sz w:val="20"/>
        </w:rPr>
        <w:t>Foreign Currency Exchange Rate Risk</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have operations in foreign countries and transact business globally in multiple currencies. Our net assets as well as our revenues and costs and expenses denominated in foreign currencies, expose us to the risk of fluctuations in foreign currency exchange rates against the U.S. dollar. Because we operate globally and approximately one-fourth of our net sales for the nine months ended September 30, 2023, were outside the U.S., foreign currency exchange rates can impact our financial position, results of operations and competitive position. We are a net receiver of foreign currencies and, therefore, benefit from a weakening of the U.S. dollar and are adversely affected by a strengthening of the U.S. dollar relative to the foreign currency. As of September 30, 2023, our most significant foreign currency exposure was to the Canadian dollar, followed by the British pound, with less significant foreign currency exposure to the Australian dollar.</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financial statements of foreign subsidiaries are translated into their U.S. dollar equivalents at end-of-period exchange rates for assets and liabilities, while revenue, costs and expenses are translated at average monthly exchange rates. Translation gains and losses are components of other comprehensive income (loss) as reported in the consolidated statements of comprehensive income (loss). Upon closure of a foreign subsidiary, the accumulated translation gains and losses relating to the foreign subsidiary are reclassified into earnings, reflected in impairment and other charges in the consolidated statements of operations. For the nine months ended September 30, 2023, we reported a net foreign currency translation adjustment of nil.</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Foreign currency exchange rate fluctuations generally do not materially affect our earnings since the functional currency is typically the local currency; however, our operations also have net assets not denominated in their functional currency, which exposes us to changes in foreign currency exchange rates that impact our net income as foreign currency transaction gains and losses. Foreign currency transaction gains and losses arising from fluctuations in currency exchange rates on transactions denominated in currencies other than the functional currency are recognized in the consolidated statements of operations as a component of other income (expense). For the nine months ended September 30, 2023 and 2022, we reported foreign currency transaction losses of $1 million in both periods. Gains and losses are primarily due to exchange rate fluctuations related to monetary asset balances denominated in currencies other than the functional currency and fair value adjustments to economically hedged positions as a result of changes in foreign currency exchange rates.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Some of the revenues for our foreign operations are denominated in U.S. dollars and, therefore, changes in foreign currency exchange rates impact earnings to the extent that costs associated with those U.S. dollar revenues are denominated in the local currency. Similarly, some of our revenues for our foreign operations are denominated in foreign currencies, but have associated U.S. dollar costs, which also give rise to foreign currency exchange rate exposure. In order to mitigate those risks, we may utilize foreign currency forward contracts to better match the currency of the revenues and the associated costs. Although we may utilize foreign currency forward contracts to economically hedge certain foreign currency denominated balances or transactions, we do not currently hedge the net investments in our foreign operations. The counterparties to our forward contracts are major financial institutions. The credit ratings and concentration of risk of these financial institutions are monitored by us on a continuing basis. In the event that the counterparties fail to meet the terms of a foreign currency contract, our exposure is limited to the foreign currency rate differential.</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average foreign exchange rate for the first nine months of 2023 compared to the average for the corresponding period of 2022 decreased by approximately 4% compared to the U.S. dollar based on the aggregated weighted average revenue of our foreign-currency denominated foreign operations. The Canadian dollar, British pound, and Australian dollar decreased in relation to the U.S. dollar by approximately 5%, approximately 1%, and approximately 5%, respectively.</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utilized a sensitivity analysis to measure the potential impact on earnings based on a hypothetical 10% change in foreign currency rates. A 10% change from the levels experienced during the first nine months of 2023 of the U.S. dollar relative to foreign currencies that affected the Company would have resulted in $2 million change in net income for the same period.</w:t>
      </w:r>
    </w:p>
    <w:p>
      <w:pPr>
        <w:pStyle w:val="TextBody"/>
        <w:bidi w:val="0"/>
        <w:spacing w:before="240" w:after="283"/>
        <w:jc w:val="left"/>
        <w:rPr>
          <w:rFonts w:ascii="Times New Roman" w:hAnsi="Times New Roman"/>
          <w:b w:val="false"/>
          <w:i/>
          <w:color w:val="000000"/>
          <w:sz w:val="20"/>
        </w:rPr>
      </w:pPr>
      <w:r>
        <w:rPr>
          <w:rFonts w:ascii="Times New Roman" w:hAnsi="Times New Roman"/>
          <w:b w:val="false"/>
          <w:i/>
          <w:color w:val="000000"/>
          <w:sz w:val="20"/>
        </w:rPr>
        <w:t>Commodity Steel Pricing</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business is sensitive to steel prices, which can impact our product pricing, with steel tubular prices generally having the highest degree of sensitivity. While we cannot predict steel prices, we mitigate this risk by managing our inventory levels, including maintaining sufficient quantity on hand to meet demand, while limiting the risk of overstocking.</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24</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12" w:name="item_4_controls_procedures"/>
      <w:bookmarkEnd w:id="12"/>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240" w:after="283"/>
        <w:jc w:val="left"/>
        <w:rPr>
          <w:rFonts w:ascii="Times New Roman" w:hAnsi="Times New Roman"/>
          <w:b w:val="false"/>
          <w:i/>
          <w:color w:val="000000"/>
          <w:sz w:val="20"/>
        </w:rPr>
      </w:pPr>
      <w:r>
        <w:rPr>
          <w:rFonts w:ascii="Times New Roman" w:hAnsi="Times New Roman"/>
          <w:b w:val="false"/>
          <w:i/>
          <w:color w:val="000000"/>
          <w:sz w:val="20"/>
        </w:rPr>
        <w:t>Evaluation of Disclosure Controls and Procedures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As of the end of the period covered by this report, we carried out an evaluation, under the supervision and with the participation of the Company’s management, including the Company’s Chief Executive Officer and Chief Financial Officer, of the effectiveness of the design and operation of the Company’s disclosure controls and procedures. The Company’s disclosure controls and procedures are designed to provide reasonable assurance that the information required to be disclosed by the Company in the reports it files under the Exchange Act is accumulated and communicated to the Company’s management, including the Company’s Chief Executive Officer and Chief Financial Officer, as appropriate, to allow timely decisions regarding required disclosures and is recorded, processed, summarized and reported within the time period specified in the rules and forms of the Securities and Exchange Commission. Based upon that evaluation, the Company’s Chief Executive Officer and Chief Financial Officer concluded that the Company’s disclosure controls and procedures are effective as of the end of the period covered by this report at a reasonable assurance level.</w:t>
      </w:r>
    </w:p>
    <w:p>
      <w:pPr>
        <w:pStyle w:val="TextBody"/>
        <w:bidi w:val="0"/>
        <w:spacing w:before="240" w:after="283"/>
        <w:jc w:val="left"/>
        <w:rPr>
          <w:rFonts w:ascii="Times New Roman" w:hAnsi="Times New Roman"/>
          <w:b w:val="false"/>
          <w:i/>
          <w:color w:val="000000"/>
          <w:sz w:val="20"/>
        </w:rPr>
      </w:pPr>
      <w:r>
        <w:rPr>
          <w:rFonts w:ascii="Times New Roman" w:hAnsi="Times New Roman"/>
          <w:b w:val="false"/>
          <w:i/>
          <w:color w:val="000000"/>
          <w:sz w:val="20"/>
        </w:rPr>
        <w:t>Changes in Internal Control Over Financial Reporting</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There has been no change in our internal control over financial reporting (as defined in Rule 13a-15(f) under the Exchange Act) that occurred during our last fiscal quarter that has materially affected, or is reasonably likely to materially affect, our internal control over financial reporting.</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25</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u w:val="single"/>
        </w:rPr>
      </w:pPr>
      <w:bookmarkStart w:id="13" w:name="part_ii_other_information"/>
      <w:bookmarkEnd w:id="13"/>
      <w:r>
        <w:rPr>
          <w:rFonts w:ascii="Times New Roman" w:hAnsi="Times New Roman"/>
          <w:b/>
          <w:color w:val="000000"/>
          <w:sz w:val="20"/>
          <w:u w:val="single"/>
        </w:rPr>
        <w:t>PART II – OTHER INFORMATION</w:t>
      </w:r>
    </w:p>
    <w:p>
      <w:pPr>
        <w:pStyle w:val="TextBody"/>
        <w:bidi w:val="0"/>
        <w:spacing w:before="240" w:after="283"/>
        <w:jc w:val="left"/>
        <w:rPr>
          <w:rFonts w:ascii="Times New Roman" w:hAnsi="Times New Roman"/>
          <w:b/>
          <w:color w:val="000000"/>
          <w:sz w:val="20"/>
        </w:rPr>
      </w:pPr>
      <w:bookmarkStart w:id="14" w:name="part_ii_item_2_unregistered_sales_equity"/>
      <w:bookmarkEnd w:id="14"/>
      <w:r>
        <w:rPr>
          <w:rFonts w:ascii="Times New Roman" w:hAnsi="Times New Roman"/>
          <w:b/>
          <w:color w:val="000000"/>
          <w:sz w:val="20"/>
        </w:rPr>
        <w:t>Item 2. Unregistered Sales of Equity Securities and Use of Proceeds</w:t>
      </w:r>
    </w:p>
    <w:p>
      <w:pPr>
        <w:pStyle w:val="TextBody"/>
        <w:bidi w:val="0"/>
        <w:spacing w:before="120" w:after="240"/>
        <w:jc w:val="left"/>
        <w:rPr>
          <w:rFonts w:ascii="Times New Roman" w:hAnsi="Times New Roman"/>
          <w:b w:val="false"/>
          <w:color w:val="000000"/>
          <w:sz w:val="20"/>
        </w:rPr>
      </w:pPr>
      <w:r>
        <w:rPr>
          <w:rFonts w:ascii="Times New Roman" w:hAnsi="Times New Roman"/>
          <w:b w:val="false"/>
          <w:color w:val="000000"/>
          <w:sz w:val="20"/>
        </w:rPr>
        <w:t>The following table presents a summary of share repurchases made during the three months ended September 30, 2023:</w:t>
      </w:r>
    </w:p>
    <w:tbl>
      <w:tblPr>
        <w:tblW w:w="10205" w:type="dxa"/>
        <w:jc w:val="left"/>
        <w:tblInd w:w="0" w:type="dxa"/>
        <w:tblLayout w:type="fixed"/>
        <w:tblCellMar>
          <w:top w:w="28" w:type="dxa"/>
          <w:left w:w="28" w:type="dxa"/>
          <w:bottom w:w="28" w:type="dxa"/>
          <w:right w:w="28" w:type="dxa"/>
        </w:tblCellMar>
      </w:tblPr>
      <w:tblGrid>
        <w:gridCol w:w="1331"/>
        <w:gridCol w:w="246"/>
        <w:gridCol w:w="218"/>
        <w:gridCol w:w="1167"/>
        <w:gridCol w:w="146"/>
        <w:gridCol w:w="146"/>
        <w:gridCol w:w="327"/>
        <w:gridCol w:w="886"/>
        <w:gridCol w:w="146"/>
        <w:gridCol w:w="146"/>
        <w:gridCol w:w="349"/>
        <w:gridCol w:w="1876"/>
        <w:gridCol w:w="146"/>
        <w:gridCol w:w="146"/>
        <w:gridCol w:w="1012"/>
        <w:gridCol w:w="1521"/>
        <w:gridCol w:w="396"/>
      </w:tblGrid>
      <w:tr>
        <w:trPr/>
        <w:tc>
          <w:tcPr>
            <w:tcW w:w="13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331" w:type="dxa"/>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Period</w:t>
            </w:r>
          </w:p>
        </w:tc>
        <w:tc>
          <w:tcPr>
            <w:tcW w:w="246" w:type="dxa"/>
            <w:tcBorders/>
            <w:shd w:fill="FFFFFF" w:val="clear"/>
            <w:vAlign w:val="center"/>
          </w:tcPr>
          <w:p>
            <w:pPr>
              <w:pStyle w:val="TableContents"/>
              <w:bidi w:val="0"/>
              <w:spacing w:before="0" w:after="283"/>
              <w:jc w:val="center"/>
              <w:rPr/>
            </w:pPr>
            <w:r>
              <w:rPr/>
              <w:t> </w:t>
            </w:r>
          </w:p>
        </w:tc>
        <w:tc>
          <w:tcPr>
            <w:tcW w:w="1385"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number of shares purchased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3" w:type="dxa"/>
            <w:gridSpan w:val="2"/>
            <w:tcBorders/>
            <w:shd w:fill="FFFFFF" w:val="cle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Average price paid per share </w:t>
            </w:r>
            <w:r>
              <w:rPr>
                <w:rFonts w:ascii="Times New Roman" w:hAnsi="Times New Roman"/>
                <w:b/>
                <w:color w:val="000000"/>
                <w:sz w:val="12"/>
              </w:rPr>
              <w:t>(1)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25" w:type="dxa"/>
            <w:gridSpan w:val="2"/>
            <w:tcBorders/>
            <w:shd w:fill="FFFFFF" w:val="cle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Total number of shares purchased as part of publicly announced program </w:t>
            </w:r>
            <w:r>
              <w:rPr>
                <w:rFonts w:ascii="Times New Roman" w:hAnsi="Times New Roman"/>
                <w:b/>
                <w:color w:val="000000"/>
                <w:sz w:val="12"/>
              </w:rPr>
              <w:t>(2)</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33" w:type="dxa"/>
            <w:gridSpan w:val="2"/>
            <w:tcBorders/>
            <w:shd w:fill="FFFFFF" w:val="cle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Approximate dollar value of shares that may yet be purchased under the program </w:t>
            </w:r>
            <w:r>
              <w:rPr>
                <w:rFonts w:ascii="Times New Roman" w:hAnsi="Times New Roman"/>
                <w:b/>
                <w:color w:val="000000"/>
                <w:sz w:val="12"/>
              </w:rPr>
              <w:t>(1)(2)</w:t>
            </w:r>
            <w:r>
              <w:rPr>
                <w:rFonts w:ascii="Times New Roman" w:hAnsi="Times New Roman"/>
                <w:b/>
                <w:color w:val="000000"/>
                <w:sz w:val="18"/>
              </w:rPr>
              <w:br/>
            </w:r>
            <w:r>
              <w:rPr>
                <w:rFonts w:ascii="Times New Roman" w:hAnsi="Times New Roman"/>
                <w:b/>
                <w:i/>
                <w:color w:val="000000"/>
                <w:sz w:val="18"/>
              </w:rPr>
              <w:t>(in millions)</w:t>
            </w:r>
          </w:p>
        </w:tc>
        <w:tc>
          <w:tcPr>
            <w:tcW w:w="396" w:type="dxa"/>
            <w:tcBorders/>
            <w:shd w:fill="FFFFFF" w:val="clear"/>
            <w:vAlign w:val="center"/>
          </w:tcPr>
          <w:p>
            <w:pPr>
              <w:pStyle w:val="TableContents"/>
              <w:bidi w:val="0"/>
              <w:spacing w:before="0" w:after="283"/>
              <w:jc w:val="center"/>
              <w:rPr/>
            </w:pPr>
            <w:r>
              <w:rPr/>
              <w:t> </w:t>
            </w:r>
          </w:p>
        </w:tc>
      </w:tr>
      <w:tr>
        <w:trPr/>
        <w:tc>
          <w:tcPr>
            <w:tcW w:w="1331"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July 1 - 31, 2023</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8" w:type="dxa"/>
            <w:tcBorders/>
            <w:shd w:fill="CFF0FC" w:val="clear"/>
            <w:vAlign w:val="center"/>
          </w:tcPr>
          <w:p>
            <w:pPr>
              <w:pStyle w:val="TableContents"/>
              <w:bidi w:val="0"/>
              <w:spacing w:before="0" w:after="283"/>
              <w:jc w:val="left"/>
              <w:rPr/>
            </w:pPr>
            <w:r>
              <w:rPr/>
              <w:t> </w:t>
            </w:r>
          </w:p>
        </w:tc>
        <w:tc>
          <w:tcPr>
            <w:tcW w:w="116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9" w:type="dxa"/>
            <w:tcBorders/>
            <w:shd w:fill="CFF0FC" w:val="clear"/>
            <w:vAlign w:val="center"/>
          </w:tcPr>
          <w:p>
            <w:pPr>
              <w:pStyle w:val="TableContents"/>
              <w:bidi w:val="0"/>
              <w:spacing w:before="0" w:after="283"/>
              <w:jc w:val="left"/>
              <w:rPr/>
            </w:pPr>
            <w:r>
              <w:rPr/>
              <w:t> </w:t>
            </w:r>
          </w:p>
        </w:tc>
        <w:tc>
          <w:tcPr>
            <w:tcW w:w="18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1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w:t>
            </w:r>
          </w:p>
        </w:tc>
        <w:tc>
          <w:tcPr>
            <w:tcW w:w="396" w:type="dxa"/>
            <w:tcBorders/>
            <w:shd w:fill="CFF0FC" w:val="clear"/>
            <w:vAlign w:val="center"/>
          </w:tcPr>
          <w:p>
            <w:pPr>
              <w:pStyle w:val="TableContents"/>
              <w:bidi w:val="0"/>
              <w:spacing w:before="0" w:after="283"/>
              <w:jc w:val="left"/>
              <w:rPr/>
            </w:pPr>
            <w:r>
              <w:rPr/>
              <w:t> </w:t>
            </w:r>
          </w:p>
        </w:tc>
      </w:tr>
      <w:tr>
        <w:trPr/>
        <w:tc>
          <w:tcPr>
            <w:tcW w:w="1331"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August 1 - 31, 2023</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429,622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left"/>
              <w:rPr/>
            </w:pPr>
            <w:r>
              <w:rPr/>
              <w:t> </w:t>
            </w:r>
          </w:p>
        </w:tc>
        <w:tc>
          <w:tcPr>
            <w:tcW w:w="18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429,622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w:t>
            </w:r>
          </w:p>
        </w:tc>
        <w:tc>
          <w:tcPr>
            <w:tcW w:w="396" w:type="dxa"/>
            <w:tcBorders/>
            <w:shd w:fill="FFFFFF" w:val="clear"/>
            <w:vAlign w:val="center"/>
          </w:tcPr>
          <w:p>
            <w:pPr>
              <w:pStyle w:val="TableContents"/>
              <w:bidi w:val="0"/>
              <w:spacing w:before="0" w:after="283"/>
              <w:jc w:val="left"/>
              <w:rPr/>
            </w:pPr>
            <w:r>
              <w:rPr/>
              <w:t> </w:t>
            </w:r>
          </w:p>
        </w:tc>
      </w:tr>
      <w:tr>
        <w:trPr/>
        <w:tc>
          <w:tcPr>
            <w:tcW w:w="1331"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September 1 - 30, 2023</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1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133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w:t>
            </w:r>
          </w:p>
        </w:tc>
        <w:tc>
          <w:tcPr>
            <w:tcW w:w="246" w:type="dxa"/>
            <w:tcBorders/>
            <w:shd w:fill="FFFFFF" w:val="cle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429,622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429,622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3" w:type="dxa"/>
            <w:gridSpan w:val="2"/>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val="false"/>
          <w:color w:val="000000"/>
          <w:sz w:val="19"/>
        </w:rPr>
      </w:pPr>
      <w:r>
        <w:rPr>
          <w:rFonts w:ascii="Times New Roman" w:hAnsi="Times New Roman"/>
          <w:b w:val="false"/>
          <w:color w:val="000000"/>
          <w:sz w:val="19"/>
        </w:rPr>
        <w:t>(1)</w:t>
      </w:r>
    </w:p>
    <w:p>
      <w:pPr>
        <w:pStyle w:val="TextBody"/>
        <w:bidi w:val="0"/>
        <w:spacing w:before="120" w:after="283"/>
        <w:jc w:val="left"/>
        <w:rPr>
          <w:rFonts w:ascii="Times New Roman" w:hAnsi="Times New Roman"/>
          <w:b w:val="false"/>
          <w:color w:val="000000"/>
          <w:sz w:val="19"/>
        </w:rPr>
      </w:pPr>
      <w:r>
        <w:rPr>
          <w:rFonts w:ascii="Times New Roman" w:hAnsi="Times New Roman"/>
          <w:b w:val="false"/>
          <w:color w:val="000000"/>
          <w:sz w:val="19"/>
        </w:rPr>
        <w:t>Excludes 1% excise tax on share repurchases.</w:t>
      </w:r>
    </w:p>
    <w:p>
      <w:pPr>
        <w:pStyle w:val="TextBody"/>
        <w:bidi w:val="0"/>
        <w:spacing w:before="120" w:after="283"/>
        <w:jc w:val="left"/>
        <w:rPr>
          <w:rFonts w:ascii="Times New Roman" w:hAnsi="Times New Roman"/>
          <w:b w:val="false"/>
          <w:color w:val="000000"/>
          <w:sz w:val="19"/>
        </w:rPr>
      </w:pPr>
      <w:r>
        <w:rPr>
          <w:rFonts w:ascii="Times New Roman" w:hAnsi="Times New Roman"/>
          <w:b w:val="false"/>
          <w:color w:val="000000"/>
          <w:sz w:val="19"/>
        </w:rPr>
        <w:t>(2)</w:t>
      </w:r>
    </w:p>
    <w:p>
      <w:pPr>
        <w:pStyle w:val="TextBody"/>
        <w:bidi w:val="0"/>
        <w:spacing w:before="120" w:after="283"/>
        <w:jc w:val="left"/>
        <w:rPr>
          <w:rFonts w:ascii="Times New Roman" w:hAnsi="Times New Roman"/>
          <w:b w:val="false"/>
          <w:color w:val="000000"/>
          <w:sz w:val="19"/>
        </w:rPr>
      </w:pPr>
      <w:r>
        <w:rPr>
          <w:rFonts w:ascii="Times New Roman" w:hAnsi="Times New Roman"/>
          <w:b w:val="false"/>
          <w:color w:val="000000"/>
          <w:sz w:val="19"/>
        </w:rPr>
        <w:t>On August 3, 2022, the Company’s Board of Directors approved a share repurchase program, under which the Company is authorized to purchase up to $80 million of its outstanding common stock through December 31, 2024.</w:t>
      </w:r>
    </w:p>
    <w:p>
      <w:pPr>
        <w:pStyle w:val="TextBody"/>
        <w:bidi w:val="0"/>
        <w:spacing w:before="240" w:after="283"/>
        <w:jc w:val="left"/>
        <w:rPr>
          <w:rFonts w:ascii="Times New Roman" w:hAnsi="Times New Roman"/>
          <w:b/>
          <w:color w:val="000000"/>
          <w:sz w:val="20"/>
        </w:rPr>
      </w:pPr>
      <w:bookmarkStart w:id="15" w:name="part_ii_item_5_other_information"/>
      <w:bookmarkEnd w:id="15"/>
      <w:r>
        <w:rPr>
          <w:rFonts w:ascii="Times New Roman" w:hAnsi="Times New Roman"/>
          <w:b/>
          <w:color w:val="000000"/>
          <w:sz w:val="20"/>
        </w:rPr>
        <w:t>Item 5. Other Information</w:t>
      </w:r>
    </w:p>
    <w:p>
      <w:pPr>
        <w:pStyle w:val="TextBody"/>
        <w:bidi w:val="0"/>
        <w:spacing w:before="240" w:after="283"/>
        <w:jc w:val="left"/>
        <w:rPr>
          <w:rFonts w:ascii="Times New Roman" w:hAnsi="Times New Roman"/>
          <w:b w:val="false"/>
          <w:i/>
          <w:color w:val="000000"/>
          <w:sz w:val="20"/>
        </w:rPr>
      </w:pPr>
      <w:r>
        <w:rPr>
          <w:rFonts w:ascii="Times New Roman" w:hAnsi="Times New Roman"/>
          <w:b w:val="false"/>
          <w:i/>
          <w:color w:val="000000"/>
          <w:sz w:val="20"/>
        </w:rPr>
        <w:t>Insider Trading Arrangements and Policies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During the three months ended September 30, 2023, no director or officer of the Company adopted</w:t>
      </w:r>
      <w:r>
        <w:rPr>
          <w:rFonts w:ascii="Times New Roman" w:hAnsi="Times New Roman"/>
          <w:color w:val="000000"/>
          <w:sz w:val="20"/>
        </w:rPr>
        <w:t xml:space="preserve"> </w:t>
      </w:r>
      <w:r>
        <w:rPr>
          <w:rFonts w:ascii="Times New Roman" w:hAnsi="Times New Roman"/>
          <w:b w:val="false"/>
          <w:color w:val="000000"/>
          <w:sz w:val="20"/>
        </w:rPr>
        <w:t>or terminated</w:t>
      </w:r>
      <w:r>
        <w:rPr>
          <w:rFonts w:ascii="Times New Roman" w:hAnsi="Times New Roman"/>
          <w:color w:val="000000"/>
          <w:sz w:val="20"/>
        </w:rPr>
        <w:t xml:space="preserve"> </w:t>
      </w:r>
      <w:r>
        <w:rPr>
          <w:rFonts w:ascii="Times New Roman" w:hAnsi="Times New Roman"/>
          <w:b w:val="false"/>
          <w:color w:val="000000"/>
          <w:sz w:val="20"/>
        </w:rPr>
        <w:t>a “Rule 10b5-1 trading arrangement</w:t>
      </w:r>
      <w:r>
        <w:rPr>
          <w:rFonts w:ascii="Times New Roman" w:hAnsi="Times New Roman"/>
          <w:color w:val="000000"/>
          <w:sz w:val="20"/>
        </w:rPr>
        <w:t xml:space="preserve">” </w:t>
      </w:r>
      <w:r>
        <w:rPr>
          <w:rFonts w:ascii="Times New Roman" w:hAnsi="Times New Roman"/>
          <w:b w:val="false"/>
          <w:color w:val="000000"/>
          <w:sz w:val="20"/>
        </w:rPr>
        <w:t>or “non-Rule 10b5-1 trading arrangement,” as each term is defined in Item 408(a) of Regulation S-K.</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26</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6" w:name="item_6_exhibits"/>
      <w:bookmarkEnd w:id="16"/>
      <w:r>
        <w:rPr>
          <w:rFonts w:ascii="Times New Roman" w:hAnsi="Times New Roman"/>
          <w:b/>
          <w:color w:val="000000"/>
          <w:sz w:val="20"/>
        </w:rPr>
        <w:t>Item 6. Exhibits</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(a) Exhibits</w:t>
      </w:r>
    </w:p>
    <w:tbl>
      <w:tblPr>
        <w:tblW w:w="10205" w:type="dxa"/>
        <w:jc w:val="left"/>
        <w:tblInd w:w="0" w:type="dxa"/>
        <w:tblLayout w:type="fixed"/>
        <w:tblCellMar>
          <w:top w:w="28" w:type="dxa"/>
          <w:left w:w="28" w:type="dxa"/>
          <w:bottom w:w="28" w:type="dxa"/>
          <w:right w:w="28" w:type="dxa"/>
        </w:tblCellMar>
      </w:tblPr>
      <w:tblGrid>
        <w:gridCol w:w="752"/>
        <w:gridCol w:w="146"/>
        <w:gridCol w:w="9307"/>
      </w:tblGrid>
      <w:tr>
        <w:trPr/>
        <w:tc>
          <w:tcPr>
            <w:tcW w:w="7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07" w:type="dxa"/>
            <w:tcBorders/>
            <w:vAlign w:val="center"/>
          </w:tcPr>
          <w:p>
            <w:pPr>
              <w:pStyle w:val="TableContents"/>
              <w:bidi w:val="0"/>
              <w:spacing w:before="0" w:after="283"/>
              <w:jc w:val="left"/>
              <w:rPr>
                <w:sz w:val="4"/>
                <w:szCs w:val="4"/>
              </w:rPr>
            </w:pPr>
            <w:r>
              <w:rPr>
                <w:sz w:val="4"/>
                <w:szCs w:val="4"/>
              </w:rPr>
            </w:r>
          </w:p>
        </w:tc>
      </w:tr>
      <w:tr>
        <w:trPr/>
        <w:tc>
          <w:tcPr>
            <w:tcW w:w="75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0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Description</w:t>
            </w:r>
          </w:p>
        </w:tc>
      </w:tr>
      <w:tr>
        <w:trPr/>
        <w:tc>
          <w:tcPr>
            <w:tcW w:w="75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07" w:type="dxa"/>
            <w:tcBorders/>
            <w:vAlign w:val="center"/>
          </w:tcPr>
          <w:p>
            <w:pPr>
              <w:pStyle w:val="TableContents"/>
              <w:bidi w:val="0"/>
              <w:spacing w:before="0" w:after="283"/>
              <w:jc w:val="left"/>
              <w:rPr/>
            </w:pPr>
            <w:r>
              <w:rPr/>
              <w:t> </w:t>
            </w:r>
          </w:p>
        </w:tc>
      </w:tr>
      <w:tr>
        <w:trPr/>
        <w:tc>
          <w:tcPr>
            <w:tcW w:w="752"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3.1</w:t>
            </w:r>
          </w:p>
        </w:tc>
        <w:tc>
          <w:tcPr>
            <w:tcW w:w="146" w:type="dxa"/>
            <w:tcBorders/>
            <w:vAlign w:val="center"/>
          </w:tcPr>
          <w:p>
            <w:pPr>
              <w:pStyle w:val="TableContents"/>
              <w:bidi w:val="0"/>
              <w:spacing w:before="0" w:after="283"/>
              <w:jc w:val="left"/>
              <w:rPr>
                <w:sz w:val="4"/>
                <w:szCs w:val="4"/>
              </w:rPr>
            </w:pPr>
            <w:r>
              <w:rPr>
                <w:sz w:val="4"/>
                <w:szCs w:val="4"/>
              </w:rPr>
            </w:r>
          </w:p>
        </w:tc>
        <w:tc>
          <w:tcPr>
            <w:tcW w:w="9307" w:type="dxa"/>
            <w:tcBorders/>
            <w:vAlign w:val="center"/>
          </w:tcPr>
          <w:p>
            <w:pPr>
              <w:pStyle w:val="TableContents"/>
              <w:bidi w:val="0"/>
              <w:spacing w:before="0" w:after="283"/>
              <w:jc w:val="left"/>
              <w:rPr/>
            </w:pPr>
            <w:hyperlink r:id="rId3">
              <w:r>
                <w:rPr>
                  <w:rStyle w:val="InternetLink"/>
                  <w:rFonts w:ascii="Times New Roman" w:hAnsi="Times New Roman"/>
                  <w:b w:val="false"/>
                  <w:color w:val="0000FF"/>
                  <w:sz w:val="20"/>
                  <w:u w:val="single"/>
                </w:rPr>
                <w:t xml:space="preserve">NOW Inc. Amended and Restated Certificate of Incorporation </w:t>
              </w:r>
            </w:hyperlink>
            <w:hyperlink r:id="rId4">
              <w:r>
                <w:rPr>
                  <w:rStyle w:val="InternetLink"/>
                  <w:rFonts w:ascii="Times New Roman" w:hAnsi="Times New Roman"/>
                  <w:b w:val="false"/>
                  <w:color w:val="0000FF"/>
                  <w:sz w:val="13"/>
                  <w:u w:val="single"/>
                </w:rPr>
                <w:t>(6)</w:t>
              </w:r>
            </w:hyperlink>
          </w:p>
        </w:tc>
      </w:tr>
      <w:tr>
        <w:trPr/>
        <w:tc>
          <w:tcPr>
            <w:tcW w:w="752" w:type="dxa"/>
            <w:tcBorders/>
            <w:vAlign w:val="center"/>
          </w:tcPr>
          <w:p>
            <w:pPr>
              <w:pStyle w:val="TableContents"/>
              <w:bidi w:val="0"/>
              <w:spacing w:before="0" w:after="283"/>
              <w:jc w:val="left"/>
              <w:rPr/>
            </w:pPr>
            <w:r>
              <w:rPr/>
              <w:t> </w:t>
            </w:r>
          </w:p>
        </w:tc>
        <w:tc>
          <w:tcPr>
            <w:tcW w:w="9453" w:type="dxa"/>
            <w:gridSpan w:val="2"/>
            <w:tcBorders/>
            <w:vAlign w:val="center"/>
          </w:tcPr>
          <w:p>
            <w:pPr>
              <w:pStyle w:val="TableContents"/>
              <w:bidi w:val="0"/>
              <w:spacing w:before="0" w:after="283"/>
              <w:jc w:val="left"/>
              <w:rPr/>
            </w:pPr>
            <w:r>
              <w:rPr/>
              <w:t> </w:t>
            </w:r>
          </w:p>
        </w:tc>
      </w:tr>
      <w:tr>
        <w:trPr/>
        <w:tc>
          <w:tcPr>
            <w:tcW w:w="752"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3.2</w:t>
            </w:r>
          </w:p>
        </w:tc>
        <w:tc>
          <w:tcPr>
            <w:tcW w:w="146" w:type="dxa"/>
            <w:tcBorders/>
            <w:vAlign w:val="center"/>
          </w:tcPr>
          <w:p>
            <w:pPr>
              <w:pStyle w:val="TableContents"/>
              <w:bidi w:val="0"/>
              <w:spacing w:before="0" w:after="283"/>
              <w:jc w:val="left"/>
              <w:rPr>
                <w:sz w:val="4"/>
                <w:szCs w:val="4"/>
              </w:rPr>
            </w:pPr>
            <w:r>
              <w:rPr>
                <w:sz w:val="4"/>
                <w:szCs w:val="4"/>
              </w:rPr>
            </w:r>
          </w:p>
        </w:tc>
        <w:tc>
          <w:tcPr>
            <w:tcW w:w="9307" w:type="dxa"/>
            <w:tcBorders/>
            <w:vAlign w:val="center"/>
          </w:tcPr>
          <w:p>
            <w:pPr>
              <w:pStyle w:val="TableContents"/>
              <w:bidi w:val="0"/>
              <w:spacing w:before="0" w:after="283"/>
              <w:jc w:val="left"/>
              <w:rPr/>
            </w:pPr>
            <w:hyperlink r:id="rId5">
              <w:r>
                <w:rPr>
                  <w:rStyle w:val="InternetLink"/>
                  <w:rFonts w:ascii="Times New Roman" w:hAnsi="Times New Roman"/>
                  <w:b w:val="false"/>
                  <w:color w:val="0000FF"/>
                  <w:sz w:val="20"/>
                  <w:u w:val="single"/>
                </w:rPr>
                <w:t xml:space="preserve">NOW Inc. Amended and Restated Bylaws </w:t>
              </w:r>
            </w:hyperlink>
            <w:hyperlink r:id="rId6">
              <w:r>
                <w:rPr>
                  <w:rStyle w:val="InternetLink"/>
                  <w:rFonts w:ascii="Times New Roman" w:hAnsi="Times New Roman"/>
                  <w:b w:val="false"/>
                  <w:color w:val="0000FF"/>
                  <w:sz w:val="13"/>
                  <w:u w:val="single"/>
                </w:rPr>
                <w:t>(6)</w:t>
              </w:r>
            </w:hyperlink>
          </w:p>
        </w:tc>
      </w:tr>
      <w:tr>
        <w:trPr/>
        <w:tc>
          <w:tcPr>
            <w:tcW w:w="752" w:type="dxa"/>
            <w:tcBorders/>
            <w:vAlign w:val="center"/>
          </w:tcPr>
          <w:p>
            <w:pPr>
              <w:pStyle w:val="TableContents"/>
              <w:bidi w:val="0"/>
              <w:spacing w:before="0" w:after="283"/>
              <w:jc w:val="left"/>
              <w:rPr/>
            </w:pPr>
            <w:r>
              <w:rPr/>
              <w:t> </w:t>
            </w:r>
          </w:p>
        </w:tc>
        <w:tc>
          <w:tcPr>
            <w:tcW w:w="9453" w:type="dxa"/>
            <w:gridSpan w:val="2"/>
            <w:tcBorders/>
            <w:vAlign w:val="center"/>
          </w:tcPr>
          <w:p>
            <w:pPr>
              <w:pStyle w:val="TableContents"/>
              <w:bidi w:val="0"/>
              <w:spacing w:before="0" w:after="283"/>
              <w:jc w:val="left"/>
              <w:rPr/>
            </w:pPr>
            <w:r>
              <w:rPr/>
              <w:t> </w:t>
            </w:r>
          </w:p>
        </w:tc>
      </w:tr>
      <w:tr>
        <w:trPr/>
        <w:tc>
          <w:tcPr>
            <w:tcW w:w="752"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w:t>
            </w:r>
          </w:p>
        </w:tc>
        <w:tc>
          <w:tcPr>
            <w:tcW w:w="146" w:type="dxa"/>
            <w:tcBorders/>
            <w:vAlign w:val="center"/>
          </w:tcPr>
          <w:p>
            <w:pPr>
              <w:pStyle w:val="TableContents"/>
              <w:bidi w:val="0"/>
              <w:spacing w:before="0" w:after="283"/>
              <w:jc w:val="left"/>
              <w:rPr>
                <w:sz w:val="4"/>
                <w:szCs w:val="4"/>
              </w:rPr>
            </w:pPr>
            <w:r>
              <w:rPr>
                <w:sz w:val="4"/>
                <w:szCs w:val="4"/>
              </w:rPr>
            </w:r>
          </w:p>
        </w:tc>
        <w:tc>
          <w:tcPr>
            <w:tcW w:w="9307" w:type="dxa"/>
            <w:tcBorders/>
            <w:vAlign w:val="center"/>
          </w:tcPr>
          <w:p>
            <w:pPr>
              <w:pStyle w:val="TableContents"/>
              <w:bidi w:val="0"/>
              <w:spacing w:before="0" w:after="283"/>
              <w:jc w:val="left"/>
              <w:rPr/>
            </w:pPr>
            <w:hyperlink r:id="rId7">
              <w:r>
                <w:rPr>
                  <w:rStyle w:val="InternetLink"/>
                  <w:rFonts w:ascii="Times New Roman" w:hAnsi="Times New Roman"/>
                  <w:b w:val="false"/>
                  <w:color w:val="0000FF"/>
                  <w:sz w:val="20"/>
                  <w:u w:val="single"/>
                </w:rPr>
                <w:t xml:space="preserve">Form of Employment Agreement for Executive Officers </w:t>
              </w:r>
            </w:hyperlink>
            <w:hyperlink r:id="rId8">
              <w:r>
                <w:rPr>
                  <w:rStyle w:val="InternetLink"/>
                  <w:rFonts w:ascii="Times New Roman" w:hAnsi="Times New Roman"/>
                  <w:b w:val="false"/>
                  <w:color w:val="0000FF"/>
                  <w:sz w:val="13"/>
                  <w:u w:val="single"/>
                </w:rPr>
                <w:t>(1)</w:t>
              </w:r>
            </w:hyperlink>
          </w:p>
        </w:tc>
      </w:tr>
      <w:tr>
        <w:trPr/>
        <w:tc>
          <w:tcPr>
            <w:tcW w:w="752" w:type="dxa"/>
            <w:tcBorders/>
            <w:vAlign w:val="center"/>
          </w:tcPr>
          <w:p>
            <w:pPr>
              <w:pStyle w:val="TableContents"/>
              <w:bidi w:val="0"/>
              <w:spacing w:before="0" w:after="283"/>
              <w:jc w:val="left"/>
              <w:rPr/>
            </w:pPr>
            <w:r>
              <w:rPr/>
              <w:t> </w:t>
            </w:r>
          </w:p>
        </w:tc>
        <w:tc>
          <w:tcPr>
            <w:tcW w:w="9453" w:type="dxa"/>
            <w:gridSpan w:val="2"/>
            <w:tcBorders/>
            <w:vAlign w:val="center"/>
          </w:tcPr>
          <w:p>
            <w:pPr>
              <w:pStyle w:val="TableContents"/>
              <w:bidi w:val="0"/>
              <w:spacing w:before="0" w:after="283"/>
              <w:jc w:val="left"/>
              <w:rPr/>
            </w:pPr>
            <w:r>
              <w:rPr/>
              <w:t> </w:t>
            </w:r>
          </w:p>
        </w:tc>
      </w:tr>
      <w:tr>
        <w:trPr/>
        <w:tc>
          <w:tcPr>
            <w:tcW w:w="752"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10.2</w:t>
            </w:r>
          </w:p>
        </w:tc>
        <w:tc>
          <w:tcPr>
            <w:tcW w:w="146" w:type="dxa"/>
            <w:tcBorders/>
            <w:vAlign w:val="center"/>
          </w:tcPr>
          <w:p>
            <w:pPr>
              <w:pStyle w:val="TableContents"/>
              <w:bidi w:val="0"/>
              <w:spacing w:before="0" w:after="283"/>
              <w:jc w:val="left"/>
              <w:rPr>
                <w:sz w:val="4"/>
                <w:szCs w:val="4"/>
              </w:rPr>
            </w:pPr>
            <w:r>
              <w:rPr>
                <w:sz w:val="4"/>
                <w:szCs w:val="4"/>
              </w:rPr>
            </w:r>
          </w:p>
        </w:tc>
        <w:tc>
          <w:tcPr>
            <w:tcW w:w="9307" w:type="dxa"/>
            <w:tcBorders/>
            <w:vAlign w:val="center"/>
          </w:tcPr>
          <w:p>
            <w:pPr>
              <w:pStyle w:val="TableContents"/>
              <w:bidi w:val="0"/>
              <w:spacing w:before="0" w:after="283"/>
              <w:jc w:val="left"/>
              <w:rPr/>
            </w:pPr>
            <w:hyperlink r:id="rId9">
              <w:r>
                <w:rPr>
                  <w:rStyle w:val="InternetLink"/>
                  <w:rFonts w:ascii="Times New Roman" w:hAnsi="Times New Roman"/>
                  <w:b w:val="false"/>
                  <w:color w:val="0000FF"/>
                  <w:sz w:val="20"/>
                  <w:u w:val="single"/>
                </w:rPr>
                <w:t xml:space="preserve">NOW Inc. 2014 Incentive Compensation Plan </w:t>
              </w:r>
            </w:hyperlink>
            <w:hyperlink r:id="rId10">
              <w:r>
                <w:rPr>
                  <w:rStyle w:val="InternetLink"/>
                  <w:rFonts w:ascii="Times New Roman" w:hAnsi="Times New Roman"/>
                  <w:b w:val="false"/>
                  <w:color w:val="0000FF"/>
                  <w:sz w:val="13"/>
                  <w:u w:val="single"/>
                </w:rPr>
                <w:t>(2)</w:t>
              </w:r>
            </w:hyperlink>
          </w:p>
        </w:tc>
      </w:tr>
      <w:tr>
        <w:trPr/>
        <w:tc>
          <w:tcPr>
            <w:tcW w:w="752" w:type="dxa"/>
            <w:tcBorders/>
            <w:vAlign w:val="center"/>
          </w:tcPr>
          <w:p>
            <w:pPr>
              <w:pStyle w:val="TableContents"/>
              <w:bidi w:val="0"/>
              <w:spacing w:before="0" w:after="283"/>
              <w:jc w:val="left"/>
              <w:rPr/>
            </w:pPr>
            <w:r>
              <w:rPr/>
              <w:t> </w:t>
            </w:r>
          </w:p>
        </w:tc>
        <w:tc>
          <w:tcPr>
            <w:tcW w:w="9453" w:type="dxa"/>
            <w:gridSpan w:val="2"/>
            <w:tcBorders/>
            <w:vAlign w:val="center"/>
          </w:tcPr>
          <w:p>
            <w:pPr>
              <w:pStyle w:val="TableContents"/>
              <w:bidi w:val="0"/>
              <w:spacing w:before="0" w:after="283"/>
              <w:jc w:val="left"/>
              <w:rPr/>
            </w:pPr>
            <w:r>
              <w:rPr/>
              <w:t> </w:t>
            </w:r>
          </w:p>
        </w:tc>
      </w:tr>
      <w:tr>
        <w:trPr/>
        <w:tc>
          <w:tcPr>
            <w:tcW w:w="752"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10.3</w:t>
            </w:r>
          </w:p>
        </w:tc>
        <w:tc>
          <w:tcPr>
            <w:tcW w:w="146" w:type="dxa"/>
            <w:tcBorders/>
            <w:vAlign w:val="center"/>
          </w:tcPr>
          <w:p>
            <w:pPr>
              <w:pStyle w:val="TableContents"/>
              <w:bidi w:val="0"/>
              <w:spacing w:before="0" w:after="283"/>
              <w:jc w:val="left"/>
              <w:rPr>
                <w:sz w:val="4"/>
                <w:szCs w:val="4"/>
              </w:rPr>
            </w:pPr>
            <w:r>
              <w:rPr>
                <w:sz w:val="4"/>
                <w:szCs w:val="4"/>
              </w:rPr>
            </w:r>
          </w:p>
        </w:tc>
        <w:tc>
          <w:tcPr>
            <w:tcW w:w="9307" w:type="dxa"/>
            <w:tcBorders/>
            <w:vAlign w:val="center"/>
          </w:tcPr>
          <w:p>
            <w:pPr>
              <w:pStyle w:val="TableContents"/>
              <w:bidi w:val="0"/>
              <w:spacing w:before="0" w:after="283"/>
              <w:jc w:val="left"/>
              <w:rPr/>
            </w:pPr>
            <w:hyperlink r:id="rId11">
              <w:r>
                <w:rPr>
                  <w:rStyle w:val="InternetLink"/>
                  <w:rFonts w:ascii="Times New Roman" w:hAnsi="Times New Roman"/>
                  <w:b w:val="false"/>
                  <w:color w:val="0000FF"/>
                  <w:sz w:val="20"/>
                  <w:u w:val="single"/>
                </w:rPr>
                <w:t xml:space="preserve">Form of Nonqualified Stock Option Agreement </w:t>
              </w:r>
            </w:hyperlink>
            <w:hyperlink r:id="rId12">
              <w:r>
                <w:rPr>
                  <w:rStyle w:val="InternetLink"/>
                  <w:rFonts w:ascii="Times New Roman" w:hAnsi="Times New Roman"/>
                  <w:b w:val="false"/>
                  <w:color w:val="0000FF"/>
                  <w:sz w:val="13"/>
                  <w:u w:val="single"/>
                </w:rPr>
                <w:t>(3)</w:t>
              </w:r>
            </w:hyperlink>
          </w:p>
        </w:tc>
      </w:tr>
      <w:tr>
        <w:trPr/>
        <w:tc>
          <w:tcPr>
            <w:tcW w:w="752" w:type="dxa"/>
            <w:tcBorders/>
            <w:vAlign w:val="center"/>
          </w:tcPr>
          <w:p>
            <w:pPr>
              <w:pStyle w:val="TableContents"/>
              <w:bidi w:val="0"/>
              <w:spacing w:before="0" w:after="283"/>
              <w:jc w:val="left"/>
              <w:rPr/>
            </w:pPr>
            <w:r>
              <w:rPr/>
              <w:t> </w:t>
            </w:r>
          </w:p>
        </w:tc>
        <w:tc>
          <w:tcPr>
            <w:tcW w:w="9453" w:type="dxa"/>
            <w:gridSpan w:val="2"/>
            <w:tcBorders/>
            <w:vAlign w:val="center"/>
          </w:tcPr>
          <w:p>
            <w:pPr>
              <w:pStyle w:val="TableContents"/>
              <w:bidi w:val="0"/>
              <w:spacing w:before="0" w:after="283"/>
              <w:jc w:val="left"/>
              <w:rPr/>
            </w:pPr>
            <w:r>
              <w:rPr/>
              <w:t> </w:t>
            </w:r>
          </w:p>
        </w:tc>
      </w:tr>
      <w:tr>
        <w:trPr/>
        <w:tc>
          <w:tcPr>
            <w:tcW w:w="752"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10.4</w:t>
            </w:r>
          </w:p>
        </w:tc>
        <w:tc>
          <w:tcPr>
            <w:tcW w:w="146" w:type="dxa"/>
            <w:tcBorders/>
            <w:vAlign w:val="center"/>
          </w:tcPr>
          <w:p>
            <w:pPr>
              <w:pStyle w:val="TableContents"/>
              <w:bidi w:val="0"/>
              <w:spacing w:before="0" w:after="283"/>
              <w:jc w:val="left"/>
              <w:rPr>
                <w:sz w:val="4"/>
                <w:szCs w:val="4"/>
              </w:rPr>
            </w:pPr>
            <w:r>
              <w:rPr>
                <w:sz w:val="4"/>
                <w:szCs w:val="4"/>
              </w:rPr>
            </w:r>
          </w:p>
        </w:tc>
        <w:tc>
          <w:tcPr>
            <w:tcW w:w="9307" w:type="dxa"/>
            <w:tcBorders/>
            <w:vAlign w:val="center"/>
          </w:tcPr>
          <w:p>
            <w:pPr>
              <w:pStyle w:val="TableContents"/>
              <w:bidi w:val="0"/>
              <w:spacing w:before="0" w:after="283"/>
              <w:jc w:val="left"/>
              <w:rPr/>
            </w:pPr>
            <w:hyperlink r:id="rId13">
              <w:r>
                <w:rPr>
                  <w:rStyle w:val="InternetLink"/>
                  <w:rFonts w:ascii="Times New Roman" w:hAnsi="Times New Roman"/>
                  <w:b w:val="false"/>
                  <w:color w:val="0000FF"/>
                  <w:sz w:val="20"/>
                  <w:u w:val="single"/>
                </w:rPr>
                <w:t xml:space="preserve">Form of Restricted Stock Award Agreement (3 year cliff vest) </w:t>
              </w:r>
            </w:hyperlink>
            <w:hyperlink r:id="rId14">
              <w:r>
                <w:rPr>
                  <w:rStyle w:val="InternetLink"/>
                  <w:rFonts w:ascii="Times New Roman" w:hAnsi="Times New Roman"/>
                  <w:b w:val="false"/>
                  <w:color w:val="0000FF"/>
                  <w:sz w:val="13"/>
                  <w:u w:val="single"/>
                </w:rPr>
                <w:t>(3)</w:t>
              </w:r>
            </w:hyperlink>
          </w:p>
        </w:tc>
      </w:tr>
      <w:tr>
        <w:trPr/>
        <w:tc>
          <w:tcPr>
            <w:tcW w:w="752" w:type="dxa"/>
            <w:tcBorders/>
            <w:vAlign w:val="center"/>
          </w:tcPr>
          <w:p>
            <w:pPr>
              <w:pStyle w:val="TableContents"/>
              <w:bidi w:val="0"/>
              <w:spacing w:before="0" w:after="283"/>
              <w:jc w:val="left"/>
              <w:rPr/>
            </w:pPr>
            <w:r>
              <w:rPr/>
              <w:t> </w:t>
            </w:r>
          </w:p>
        </w:tc>
        <w:tc>
          <w:tcPr>
            <w:tcW w:w="9453" w:type="dxa"/>
            <w:gridSpan w:val="2"/>
            <w:tcBorders/>
            <w:vAlign w:val="center"/>
          </w:tcPr>
          <w:p>
            <w:pPr>
              <w:pStyle w:val="TableContents"/>
              <w:bidi w:val="0"/>
              <w:spacing w:before="0" w:after="283"/>
              <w:jc w:val="left"/>
              <w:rPr/>
            </w:pPr>
            <w:r>
              <w:rPr/>
              <w:t> </w:t>
            </w:r>
          </w:p>
        </w:tc>
      </w:tr>
      <w:tr>
        <w:trPr/>
        <w:tc>
          <w:tcPr>
            <w:tcW w:w="752"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10.5</w:t>
            </w:r>
          </w:p>
        </w:tc>
        <w:tc>
          <w:tcPr>
            <w:tcW w:w="146" w:type="dxa"/>
            <w:tcBorders/>
            <w:vAlign w:val="center"/>
          </w:tcPr>
          <w:p>
            <w:pPr>
              <w:pStyle w:val="TableContents"/>
              <w:bidi w:val="0"/>
              <w:spacing w:before="0" w:after="283"/>
              <w:jc w:val="left"/>
              <w:rPr>
                <w:sz w:val="4"/>
                <w:szCs w:val="4"/>
              </w:rPr>
            </w:pPr>
            <w:r>
              <w:rPr>
                <w:sz w:val="4"/>
                <w:szCs w:val="4"/>
              </w:rPr>
            </w:r>
          </w:p>
        </w:tc>
        <w:tc>
          <w:tcPr>
            <w:tcW w:w="9307" w:type="dxa"/>
            <w:tcBorders/>
            <w:vAlign w:val="center"/>
          </w:tcPr>
          <w:p>
            <w:pPr>
              <w:pStyle w:val="TableContents"/>
              <w:bidi w:val="0"/>
              <w:spacing w:before="0" w:after="283"/>
              <w:jc w:val="left"/>
              <w:rPr/>
            </w:pPr>
            <w:hyperlink r:id="rId15">
              <w:r>
                <w:rPr>
                  <w:rStyle w:val="InternetLink"/>
                  <w:rFonts w:ascii="Times New Roman" w:hAnsi="Times New Roman"/>
                  <w:b w:val="false"/>
                  <w:color w:val="0000FF"/>
                  <w:sz w:val="20"/>
                  <w:u w:val="single"/>
                </w:rPr>
                <w:t xml:space="preserve">Form of Performance Award Agreement </w:t>
              </w:r>
            </w:hyperlink>
            <w:hyperlink r:id="rId16">
              <w:r>
                <w:rPr>
                  <w:rStyle w:val="InternetLink"/>
                  <w:rFonts w:ascii="Times New Roman" w:hAnsi="Times New Roman"/>
                  <w:b w:val="false"/>
                  <w:color w:val="0000FF"/>
                  <w:sz w:val="13"/>
                  <w:u w:val="single"/>
                </w:rPr>
                <w:t>(3)</w:t>
              </w:r>
            </w:hyperlink>
          </w:p>
        </w:tc>
      </w:tr>
      <w:tr>
        <w:trPr/>
        <w:tc>
          <w:tcPr>
            <w:tcW w:w="752" w:type="dxa"/>
            <w:tcBorders/>
            <w:vAlign w:val="center"/>
          </w:tcPr>
          <w:p>
            <w:pPr>
              <w:pStyle w:val="TableContents"/>
              <w:bidi w:val="0"/>
              <w:spacing w:before="0" w:after="283"/>
              <w:jc w:val="left"/>
              <w:rPr/>
            </w:pPr>
            <w:r>
              <w:rPr/>
              <w:t> </w:t>
            </w:r>
          </w:p>
        </w:tc>
        <w:tc>
          <w:tcPr>
            <w:tcW w:w="9453" w:type="dxa"/>
            <w:gridSpan w:val="2"/>
            <w:tcBorders/>
            <w:vAlign w:val="center"/>
          </w:tcPr>
          <w:p>
            <w:pPr>
              <w:pStyle w:val="TableContents"/>
              <w:bidi w:val="0"/>
              <w:spacing w:before="0" w:after="283"/>
              <w:jc w:val="left"/>
              <w:rPr/>
            </w:pPr>
            <w:r>
              <w:rPr/>
              <w:t> </w:t>
            </w:r>
          </w:p>
        </w:tc>
      </w:tr>
      <w:tr>
        <w:trPr/>
        <w:tc>
          <w:tcPr>
            <w:tcW w:w="752"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10.6</w:t>
            </w:r>
          </w:p>
        </w:tc>
        <w:tc>
          <w:tcPr>
            <w:tcW w:w="146" w:type="dxa"/>
            <w:tcBorders/>
            <w:vAlign w:val="center"/>
          </w:tcPr>
          <w:p>
            <w:pPr>
              <w:pStyle w:val="TableContents"/>
              <w:bidi w:val="0"/>
              <w:spacing w:before="0" w:after="283"/>
              <w:jc w:val="left"/>
              <w:rPr>
                <w:sz w:val="4"/>
                <w:szCs w:val="4"/>
              </w:rPr>
            </w:pPr>
            <w:r>
              <w:rPr>
                <w:sz w:val="4"/>
                <w:szCs w:val="4"/>
              </w:rPr>
            </w:r>
          </w:p>
        </w:tc>
        <w:tc>
          <w:tcPr>
            <w:tcW w:w="9307" w:type="dxa"/>
            <w:tcBorders/>
            <w:vAlign w:val="center"/>
          </w:tcPr>
          <w:p>
            <w:pPr>
              <w:pStyle w:val="TableContents"/>
              <w:bidi w:val="0"/>
              <w:spacing w:before="0" w:after="283"/>
              <w:jc w:val="left"/>
              <w:rPr/>
            </w:pPr>
            <w:hyperlink r:id="rId17">
              <w:r>
                <w:rPr>
                  <w:rStyle w:val="InternetLink"/>
                  <w:rFonts w:ascii="Times New Roman" w:hAnsi="Times New Roman"/>
                  <w:b w:val="false"/>
                  <w:color w:val="0000FF"/>
                  <w:sz w:val="20"/>
                  <w:u w:val="single"/>
                </w:rPr>
                <w:t xml:space="preserve">Form of Amendment to Employment Agreement for Executive Officers </w:t>
              </w:r>
            </w:hyperlink>
            <w:hyperlink r:id="rId18">
              <w:r>
                <w:rPr>
                  <w:rStyle w:val="InternetLink"/>
                  <w:rFonts w:ascii="Times New Roman" w:hAnsi="Times New Roman"/>
                  <w:b w:val="false"/>
                  <w:color w:val="0000FF"/>
                  <w:sz w:val="13"/>
                  <w:u w:val="single"/>
                </w:rPr>
                <w:t>(4)</w:t>
              </w:r>
            </w:hyperlink>
          </w:p>
        </w:tc>
      </w:tr>
      <w:tr>
        <w:trPr/>
        <w:tc>
          <w:tcPr>
            <w:tcW w:w="75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07" w:type="dxa"/>
            <w:tcBorders/>
            <w:vAlign w:val="center"/>
          </w:tcPr>
          <w:p>
            <w:pPr>
              <w:pStyle w:val="TableContents"/>
              <w:bidi w:val="0"/>
              <w:spacing w:before="0" w:after="283"/>
              <w:jc w:val="left"/>
              <w:rPr/>
            </w:pPr>
            <w:r>
              <w:rPr/>
              <w:t> </w:t>
            </w:r>
          </w:p>
        </w:tc>
      </w:tr>
      <w:tr>
        <w:trPr/>
        <w:tc>
          <w:tcPr>
            <w:tcW w:w="752"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10.7</w:t>
            </w:r>
          </w:p>
        </w:tc>
        <w:tc>
          <w:tcPr>
            <w:tcW w:w="146" w:type="dxa"/>
            <w:tcBorders/>
            <w:vAlign w:val="center"/>
          </w:tcPr>
          <w:p>
            <w:pPr>
              <w:pStyle w:val="TableContents"/>
              <w:bidi w:val="0"/>
              <w:spacing w:before="0" w:after="283"/>
              <w:jc w:val="left"/>
              <w:rPr>
                <w:sz w:val="4"/>
                <w:szCs w:val="4"/>
              </w:rPr>
            </w:pPr>
            <w:r>
              <w:rPr>
                <w:sz w:val="4"/>
                <w:szCs w:val="4"/>
              </w:rPr>
            </w:r>
          </w:p>
        </w:tc>
        <w:tc>
          <w:tcPr>
            <w:tcW w:w="9307" w:type="dxa"/>
            <w:tcBorders/>
            <w:vAlign w:val="center"/>
          </w:tcPr>
          <w:p>
            <w:pPr>
              <w:pStyle w:val="TableContents"/>
              <w:bidi w:val="0"/>
              <w:spacing w:before="0" w:after="283"/>
              <w:jc w:val="left"/>
              <w:rPr/>
            </w:pPr>
            <w:hyperlink r:id="rId19">
              <w:r>
                <w:rPr>
                  <w:rStyle w:val="InternetLink"/>
                  <w:rFonts w:ascii="Times New Roman" w:hAnsi="Times New Roman"/>
                  <w:b w:val="false"/>
                  <w:color w:val="0000FF"/>
                  <w:sz w:val="20"/>
                  <w:u w:val="single"/>
                </w:rPr>
                <w:t xml:space="preserve">Credit Agreement dated as of April 30, 2018, among the Borrowers, the lenders party thereto and Wells Fargo Bank, National Association as administrative agent, an issuing lender and swing lender </w:t>
              </w:r>
            </w:hyperlink>
            <w:hyperlink r:id="rId20">
              <w:r>
                <w:rPr>
                  <w:rStyle w:val="InternetLink"/>
                  <w:rFonts w:ascii="Times New Roman" w:hAnsi="Times New Roman"/>
                  <w:b w:val="false"/>
                  <w:color w:val="0000FF"/>
                  <w:sz w:val="13"/>
                  <w:u w:val="single"/>
                </w:rPr>
                <w:t>(5)</w:t>
              </w:r>
            </w:hyperlink>
          </w:p>
        </w:tc>
      </w:tr>
      <w:tr>
        <w:trPr/>
        <w:tc>
          <w:tcPr>
            <w:tcW w:w="752" w:type="dxa"/>
            <w:tcBorders/>
            <w:vAlign w:val="center"/>
          </w:tcPr>
          <w:p>
            <w:pPr>
              <w:pStyle w:val="TableContents"/>
              <w:bidi w:val="0"/>
              <w:spacing w:before="0" w:after="283"/>
              <w:jc w:val="left"/>
              <w:rPr/>
            </w:pPr>
            <w:r>
              <w:rPr/>
              <w:t> </w:t>
            </w:r>
          </w:p>
        </w:tc>
        <w:tc>
          <w:tcPr>
            <w:tcW w:w="9453" w:type="dxa"/>
            <w:gridSpan w:val="2"/>
            <w:tcBorders/>
            <w:vAlign w:val="center"/>
          </w:tcPr>
          <w:p>
            <w:pPr>
              <w:pStyle w:val="TableContents"/>
              <w:bidi w:val="0"/>
              <w:spacing w:before="0" w:after="283"/>
              <w:jc w:val="left"/>
              <w:rPr/>
            </w:pPr>
            <w:r>
              <w:rPr/>
              <w:t> </w:t>
            </w:r>
          </w:p>
        </w:tc>
      </w:tr>
      <w:tr>
        <w:trPr/>
        <w:tc>
          <w:tcPr>
            <w:tcW w:w="752"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10.8</w:t>
            </w:r>
          </w:p>
        </w:tc>
        <w:tc>
          <w:tcPr>
            <w:tcW w:w="146" w:type="dxa"/>
            <w:tcBorders/>
            <w:vAlign w:val="center"/>
          </w:tcPr>
          <w:p>
            <w:pPr>
              <w:pStyle w:val="TableContents"/>
              <w:bidi w:val="0"/>
              <w:spacing w:before="0" w:after="283"/>
              <w:jc w:val="left"/>
              <w:rPr>
                <w:sz w:val="4"/>
                <w:szCs w:val="4"/>
              </w:rPr>
            </w:pPr>
            <w:r>
              <w:rPr>
                <w:sz w:val="4"/>
                <w:szCs w:val="4"/>
              </w:rPr>
            </w:r>
          </w:p>
        </w:tc>
        <w:tc>
          <w:tcPr>
            <w:tcW w:w="9307" w:type="dxa"/>
            <w:tcBorders/>
            <w:vAlign w:val="center"/>
          </w:tcPr>
          <w:p>
            <w:pPr>
              <w:pStyle w:val="TableContents"/>
              <w:bidi w:val="0"/>
              <w:spacing w:before="0" w:after="283"/>
              <w:jc w:val="left"/>
              <w:rPr/>
            </w:pPr>
            <w:hyperlink r:id="rId21">
              <w:r>
                <w:rPr>
                  <w:rStyle w:val="InternetLink"/>
                  <w:rFonts w:ascii="Times New Roman" w:hAnsi="Times New Roman"/>
                  <w:b w:val="false"/>
                  <w:color w:val="0000FF"/>
                  <w:sz w:val="20"/>
                  <w:u w:val="single"/>
                </w:rPr>
                <w:t xml:space="preserve">Employment Agreement between NOW Inc. and Chief Executive Officer David Cherechinsky </w:t>
              </w:r>
            </w:hyperlink>
            <w:hyperlink r:id="rId22">
              <w:r>
                <w:rPr>
                  <w:rStyle w:val="InternetLink"/>
                  <w:rFonts w:ascii="Times New Roman" w:hAnsi="Times New Roman"/>
                  <w:b w:val="false"/>
                  <w:color w:val="0000FF"/>
                  <w:sz w:val="13"/>
                  <w:u w:val="single"/>
                </w:rPr>
                <w:t>(7)</w:t>
              </w:r>
            </w:hyperlink>
          </w:p>
        </w:tc>
      </w:tr>
      <w:tr>
        <w:trPr/>
        <w:tc>
          <w:tcPr>
            <w:tcW w:w="752" w:type="dxa"/>
            <w:tcBorders/>
            <w:vAlign w:val="center"/>
          </w:tcPr>
          <w:p>
            <w:pPr>
              <w:pStyle w:val="TableContents"/>
              <w:bidi w:val="0"/>
              <w:spacing w:before="0" w:after="283"/>
              <w:jc w:val="left"/>
              <w:rPr/>
            </w:pPr>
            <w:r>
              <w:rPr/>
              <w:t> </w:t>
            </w:r>
          </w:p>
        </w:tc>
        <w:tc>
          <w:tcPr>
            <w:tcW w:w="9453" w:type="dxa"/>
            <w:gridSpan w:val="2"/>
            <w:tcBorders/>
            <w:vAlign w:val="center"/>
          </w:tcPr>
          <w:p>
            <w:pPr>
              <w:pStyle w:val="TableContents"/>
              <w:bidi w:val="0"/>
              <w:spacing w:before="0" w:after="283"/>
              <w:jc w:val="left"/>
              <w:rPr/>
            </w:pPr>
            <w:r>
              <w:rPr/>
              <w:t> </w:t>
            </w:r>
          </w:p>
        </w:tc>
      </w:tr>
      <w:tr>
        <w:trPr/>
        <w:tc>
          <w:tcPr>
            <w:tcW w:w="752"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10.9</w:t>
            </w:r>
          </w:p>
        </w:tc>
        <w:tc>
          <w:tcPr>
            <w:tcW w:w="146" w:type="dxa"/>
            <w:tcBorders/>
            <w:vAlign w:val="center"/>
          </w:tcPr>
          <w:p>
            <w:pPr>
              <w:pStyle w:val="TableContents"/>
              <w:bidi w:val="0"/>
              <w:spacing w:before="0" w:after="283"/>
              <w:jc w:val="left"/>
              <w:rPr>
                <w:sz w:val="4"/>
                <w:szCs w:val="4"/>
              </w:rPr>
            </w:pPr>
            <w:r>
              <w:rPr>
                <w:sz w:val="4"/>
                <w:szCs w:val="4"/>
              </w:rPr>
            </w:r>
          </w:p>
        </w:tc>
        <w:tc>
          <w:tcPr>
            <w:tcW w:w="9307" w:type="dxa"/>
            <w:tcBorders/>
            <w:vAlign w:val="center"/>
          </w:tcPr>
          <w:p>
            <w:pPr>
              <w:pStyle w:val="TableContents"/>
              <w:bidi w:val="0"/>
              <w:spacing w:before="0" w:after="283"/>
              <w:jc w:val="left"/>
              <w:rPr/>
            </w:pPr>
            <w:hyperlink r:id="rId23">
              <w:r>
                <w:rPr>
                  <w:rStyle w:val="InternetLink"/>
                  <w:rFonts w:ascii="Times New Roman" w:hAnsi="Times New Roman"/>
                  <w:b w:val="false"/>
                  <w:color w:val="0000FF"/>
                  <w:sz w:val="20"/>
                  <w:u w:val="single"/>
                </w:rPr>
                <w:t xml:space="preserve">Employment Agreement between NOW Inc. and Chief Financial Officer Mark Johnson </w:t>
              </w:r>
            </w:hyperlink>
            <w:hyperlink r:id="rId24">
              <w:r>
                <w:rPr>
                  <w:rStyle w:val="InternetLink"/>
                  <w:rFonts w:ascii="Times New Roman" w:hAnsi="Times New Roman"/>
                  <w:b w:val="false"/>
                  <w:color w:val="0000FF"/>
                  <w:sz w:val="13"/>
                  <w:u w:val="single"/>
                </w:rPr>
                <w:t>(7)</w:t>
              </w:r>
            </w:hyperlink>
          </w:p>
        </w:tc>
      </w:tr>
      <w:tr>
        <w:trPr/>
        <w:tc>
          <w:tcPr>
            <w:tcW w:w="752" w:type="dxa"/>
            <w:tcBorders/>
            <w:vAlign w:val="center"/>
          </w:tcPr>
          <w:p>
            <w:pPr>
              <w:pStyle w:val="TableContents"/>
              <w:bidi w:val="0"/>
              <w:spacing w:before="0" w:after="283"/>
              <w:jc w:val="left"/>
              <w:rPr/>
            </w:pPr>
            <w:r>
              <w:rPr/>
              <w:t> </w:t>
            </w:r>
          </w:p>
        </w:tc>
        <w:tc>
          <w:tcPr>
            <w:tcW w:w="9453" w:type="dxa"/>
            <w:gridSpan w:val="2"/>
            <w:tcBorders/>
            <w:vAlign w:val="center"/>
          </w:tcPr>
          <w:p>
            <w:pPr>
              <w:pStyle w:val="TableContents"/>
              <w:bidi w:val="0"/>
              <w:spacing w:before="0" w:after="283"/>
              <w:jc w:val="left"/>
              <w:rPr/>
            </w:pPr>
            <w:r>
              <w:rPr/>
              <w:t> </w:t>
            </w:r>
          </w:p>
        </w:tc>
      </w:tr>
      <w:tr>
        <w:trPr/>
        <w:tc>
          <w:tcPr>
            <w:tcW w:w="752"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10.10</w:t>
            </w:r>
          </w:p>
        </w:tc>
        <w:tc>
          <w:tcPr>
            <w:tcW w:w="146" w:type="dxa"/>
            <w:tcBorders/>
            <w:vAlign w:val="center"/>
          </w:tcPr>
          <w:p>
            <w:pPr>
              <w:pStyle w:val="TableContents"/>
              <w:bidi w:val="0"/>
              <w:spacing w:before="0" w:after="283"/>
              <w:jc w:val="left"/>
              <w:rPr/>
            </w:pPr>
            <w:r>
              <w:rPr/>
              <w:t> </w:t>
            </w:r>
          </w:p>
        </w:tc>
        <w:tc>
          <w:tcPr>
            <w:tcW w:w="9307" w:type="dxa"/>
            <w:tcBorders/>
            <w:vAlign w:val="center"/>
          </w:tcPr>
          <w:p>
            <w:pPr>
              <w:pStyle w:val="TableContents"/>
              <w:bidi w:val="0"/>
              <w:spacing w:before="0" w:after="283"/>
              <w:jc w:val="left"/>
              <w:rPr/>
            </w:pPr>
            <w:hyperlink r:id="rId25">
              <w:r>
                <w:rPr>
                  <w:rStyle w:val="InternetLink"/>
                  <w:rFonts w:ascii="Times New Roman" w:hAnsi="Times New Roman"/>
                  <w:b w:val="false"/>
                  <w:color w:val="0000FF"/>
                  <w:sz w:val="20"/>
                  <w:u w:val="single"/>
                </w:rPr>
                <w:t>First Amendment to Credit Agreement, and First Amendment to US Guaranty and Security Agreement, dated as of December 14, 2021, among the Borrowers, the lenders party thereto and Wells Fargo Bank, National Association, as administrative agent, an issuing lender and swing lender.</w:t>
              </w:r>
            </w:hyperlink>
            <w:hyperlink r:id="rId26">
              <w:r>
                <w:rPr>
                  <w:rStyle w:val="InternetLink"/>
                  <w:rFonts w:ascii="Times New Roman" w:hAnsi="Times New Roman"/>
                  <w:b w:val="false"/>
                  <w:color w:val="0000FF"/>
                  <w:sz w:val="13"/>
                  <w:u w:val="single"/>
                </w:rPr>
                <w:t>(8)</w:t>
              </w:r>
            </w:hyperlink>
          </w:p>
        </w:tc>
      </w:tr>
      <w:tr>
        <w:trPr/>
        <w:tc>
          <w:tcPr>
            <w:tcW w:w="75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07" w:type="dxa"/>
            <w:tcBorders/>
            <w:vAlign w:val="center"/>
          </w:tcPr>
          <w:p>
            <w:pPr>
              <w:pStyle w:val="TableContents"/>
              <w:bidi w:val="0"/>
              <w:spacing w:before="0" w:after="283"/>
              <w:jc w:val="left"/>
              <w:rPr/>
            </w:pPr>
            <w:r>
              <w:rPr/>
              <w:t> </w:t>
            </w:r>
          </w:p>
        </w:tc>
      </w:tr>
      <w:tr>
        <w:trPr/>
        <w:tc>
          <w:tcPr>
            <w:tcW w:w="752"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10.11</w:t>
            </w:r>
          </w:p>
        </w:tc>
        <w:tc>
          <w:tcPr>
            <w:tcW w:w="146" w:type="dxa"/>
            <w:tcBorders/>
            <w:vAlign w:val="center"/>
          </w:tcPr>
          <w:p>
            <w:pPr>
              <w:pStyle w:val="TableContents"/>
              <w:bidi w:val="0"/>
              <w:spacing w:before="0" w:after="283"/>
              <w:jc w:val="left"/>
              <w:rPr/>
            </w:pPr>
            <w:r>
              <w:rPr/>
              <w:t> </w:t>
            </w:r>
          </w:p>
        </w:tc>
        <w:tc>
          <w:tcPr>
            <w:tcW w:w="9307" w:type="dxa"/>
            <w:tcBorders/>
            <w:vAlign w:val="center"/>
          </w:tcPr>
          <w:p>
            <w:pPr>
              <w:pStyle w:val="TableContents"/>
              <w:bidi w:val="0"/>
              <w:spacing w:before="0" w:after="283"/>
              <w:jc w:val="left"/>
              <w:rPr/>
            </w:pPr>
            <w:hyperlink r:id="rId27">
              <w:r>
                <w:rPr>
                  <w:rStyle w:val="InternetLink"/>
                  <w:rFonts w:ascii="Times New Roman" w:hAnsi="Times New Roman"/>
                  <w:b w:val="false"/>
                  <w:color w:val="0000FF"/>
                  <w:sz w:val="20"/>
                  <w:u w:val="single"/>
                </w:rPr>
                <w:t xml:space="preserve">Second Amendment to Credit Agreement, among the Borrowers, the lenders party thereto and Wells Fargo Bank, National Association, as administrative agent, an issuing lender and swing lender </w:t>
              </w:r>
            </w:hyperlink>
            <w:hyperlink r:id="rId28">
              <w:r>
                <w:rPr>
                  <w:rStyle w:val="InternetLink"/>
                  <w:rFonts w:ascii="Times New Roman" w:hAnsi="Times New Roman"/>
                  <w:b w:val="false"/>
                  <w:color w:val="0000FF"/>
                  <w:sz w:val="13"/>
                  <w:u w:val="single"/>
                </w:rPr>
                <w:t>(9)</w:t>
              </w:r>
            </w:hyperlink>
          </w:p>
        </w:tc>
      </w:tr>
      <w:tr>
        <w:trPr/>
        <w:tc>
          <w:tcPr>
            <w:tcW w:w="75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07" w:type="dxa"/>
            <w:tcBorders/>
            <w:vAlign w:val="center"/>
          </w:tcPr>
          <w:p>
            <w:pPr>
              <w:pStyle w:val="TableContents"/>
              <w:bidi w:val="0"/>
              <w:spacing w:before="0" w:after="283"/>
              <w:jc w:val="left"/>
              <w:rPr/>
            </w:pPr>
            <w:r>
              <w:rPr/>
              <w:t> </w:t>
            </w:r>
          </w:p>
        </w:tc>
      </w:tr>
      <w:tr>
        <w:trPr/>
        <w:tc>
          <w:tcPr>
            <w:tcW w:w="752"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31.1</w:t>
            </w:r>
          </w:p>
        </w:tc>
        <w:tc>
          <w:tcPr>
            <w:tcW w:w="146" w:type="dxa"/>
            <w:tcBorders/>
            <w:vAlign w:val="center"/>
          </w:tcPr>
          <w:p>
            <w:pPr>
              <w:pStyle w:val="TableContents"/>
              <w:bidi w:val="0"/>
              <w:spacing w:before="0" w:after="283"/>
              <w:jc w:val="left"/>
              <w:rPr>
                <w:sz w:val="4"/>
                <w:szCs w:val="4"/>
              </w:rPr>
            </w:pPr>
            <w:r>
              <w:rPr>
                <w:sz w:val="4"/>
                <w:szCs w:val="4"/>
              </w:rPr>
            </w:r>
          </w:p>
        </w:tc>
        <w:tc>
          <w:tcPr>
            <w:tcW w:w="9307" w:type="dxa"/>
            <w:tcBorders/>
            <w:vAlign w:val="center"/>
          </w:tcPr>
          <w:p>
            <w:pPr>
              <w:pStyle w:val="TableContents"/>
              <w:bidi w:val="0"/>
              <w:spacing w:before="0" w:after="283"/>
              <w:jc w:val="left"/>
              <w:rPr/>
            </w:pPr>
            <w:hyperlink w:anchor="dnow-ex31_1.htm">
              <w:r>
                <w:rPr>
                  <w:rStyle w:val="InternetLink"/>
                  <w:rFonts w:ascii="Times New Roman" w:hAnsi="Times New Roman"/>
                  <w:b w:val="false"/>
                  <w:color w:val="0000FF"/>
                  <w:sz w:val="20"/>
                  <w:u w:val="single"/>
                </w:rPr>
                <w:t>Certification pursuant to Rule 13a-14a and Rule 15d-14(a) of the Securities and Exchange Act, as amended</w:t>
              </w:r>
            </w:hyperlink>
          </w:p>
        </w:tc>
      </w:tr>
      <w:tr>
        <w:trPr/>
        <w:tc>
          <w:tcPr>
            <w:tcW w:w="752" w:type="dxa"/>
            <w:tcBorders/>
            <w:vAlign w:val="center"/>
          </w:tcPr>
          <w:p>
            <w:pPr>
              <w:pStyle w:val="TableContents"/>
              <w:bidi w:val="0"/>
              <w:spacing w:before="0" w:after="283"/>
              <w:jc w:val="left"/>
              <w:rPr/>
            </w:pPr>
            <w:r>
              <w:rPr/>
              <w:t> </w:t>
            </w:r>
          </w:p>
        </w:tc>
        <w:tc>
          <w:tcPr>
            <w:tcW w:w="9453" w:type="dxa"/>
            <w:gridSpan w:val="2"/>
            <w:tcBorders/>
            <w:vAlign w:val="center"/>
          </w:tcPr>
          <w:p>
            <w:pPr>
              <w:pStyle w:val="TableContents"/>
              <w:bidi w:val="0"/>
              <w:spacing w:before="0" w:after="283"/>
              <w:jc w:val="left"/>
              <w:rPr/>
            </w:pPr>
            <w:r>
              <w:rPr/>
              <w:t> </w:t>
            </w:r>
          </w:p>
        </w:tc>
      </w:tr>
      <w:tr>
        <w:trPr/>
        <w:tc>
          <w:tcPr>
            <w:tcW w:w="752"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31.2</w:t>
            </w:r>
          </w:p>
        </w:tc>
        <w:tc>
          <w:tcPr>
            <w:tcW w:w="146" w:type="dxa"/>
            <w:tcBorders/>
            <w:vAlign w:val="center"/>
          </w:tcPr>
          <w:p>
            <w:pPr>
              <w:pStyle w:val="TableContents"/>
              <w:bidi w:val="0"/>
              <w:spacing w:before="0" w:after="283"/>
              <w:jc w:val="left"/>
              <w:rPr/>
            </w:pPr>
            <w:r>
              <w:rPr/>
              <w:t> </w:t>
            </w:r>
          </w:p>
        </w:tc>
        <w:tc>
          <w:tcPr>
            <w:tcW w:w="9307" w:type="dxa"/>
            <w:tcBorders/>
            <w:vAlign w:val="center"/>
          </w:tcPr>
          <w:p>
            <w:pPr>
              <w:pStyle w:val="TableContents"/>
              <w:bidi w:val="0"/>
              <w:spacing w:before="0" w:after="283"/>
              <w:jc w:val="left"/>
              <w:rPr/>
            </w:pPr>
            <w:hyperlink w:anchor="dnow-ex31_2.htm">
              <w:r>
                <w:rPr>
                  <w:rStyle w:val="InternetLink"/>
                  <w:rFonts w:ascii="Times New Roman" w:hAnsi="Times New Roman"/>
                  <w:b w:val="false"/>
                  <w:color w:val="0000FF"/>
                  <w:sz w:val="20"/>
                  <w:u w:val="single"/>
                </w:rPr>
                <w:t>Certification pursuant to Rule 13a-14a and Rule 15d-14(a) of the Securities and Exchange Act, as amended</w:t>
              </w:r>
            </w:hyperlink>
          </w:p>
        </w:tc>
      </w:tr>
      <w:tr>
        <w:trPr/>
        <w:tc>
          <w:tcPr>
            <w:tcW w:w="752" w:type="dxa"/>
            <w:tcBorders/>
            <w:vAlign w:val="center"/>
          </w:tcPr>
          <w:p>
            <w:pPr>
              <w:pStyle w:val="TableContents"/>
              <w:bidi w:val="0"/>
              <w:spacing w:before="0" w:after="283"/>
              <w:jc w:val="left"/>
              <w:rPr/>
            </w:pPr>
            <w:r>
              <w:rPr/>
              <w:t> </w:t>
            </w:r>
          </w:p>
        </w:tc>
        <w:tc>
          <w:tcPr>
            <w:tcW w:w="9453" w:type="dxa"/>
            <w:gridSpan w:val="2"/>
            <w:tcBorders/>
            <w:vAlign w:val="center"/>
          </w:tcPr>
          <w:p>
            <w:pPr>
              <w:pStyle w:val="TableContents"/>
              <w:bidi w:val="0"/>
              <w:spacing w:before="0" w:after="283"/>
              <w:jc w:val="left"/>
              <w:rPr/>
            </w:pPr>
            <w:r>
              <w:rPr/>
              <w:t> </w:t>
            </w:r>
          </w:p>
        </w:tc>
      </w:tr>
      <w:tr>
        <w:trPr/>
        <w:tc>
          <w:tcPr>
            <w:tcW w:w="752"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32.1</w:t>
            </w:r>
          </w:p>
        </w:tc>
        <w:tc>
          <w:tcPr>
            <w:tcW w:w="146" w:type="dxa"/>
            <w:tcBorders/>
            <w:vAlign w:val="center"/>
          </w:tcPr>
          <w:p>
            <w:pPr>
              <w:pStyle w:val="TableContents"/>
              <w:bidi w:val="0"/>
              <w:spacing w:before="0" w:after="283"/>
              <w:jc w:val="left"/>
              <w:rPr/>
            </w:pPr>
            <w:r>
              <w:rPr/>
              <w:t> </w:t>
            </w:r>
          </w:p>
        </w:tc>
        <w:tc>
          <w:tcPr>
            <w:tcW w:w="9307" w:type="dxa"/>
            <w:tcBorders/>
            <w:vAlign w:val="center"/>
          </w:tcPr>
          <w:p>
            <w:pPr>
              <w:pStyle w:val="TableContents"/>
              <w:bidi w:val="0"/>
              <w:spacing w:before="0" w:after="283"/>
              <w:jc w:val="left"/>
              <w:rPr/>
            </w:pPr>
            <w:hyperlink w:anchor="dnow-ex32_1.htm">
              <w:r>
                <w:rPr>
                  <w:rStyle w:val="InternetLink"/>
                  <w:rFonts w:ascii="Times New Roman" w:hAnsi="Times New Roman"/>
                  <w:b w:val="false"/>
                  <w:color w:val="0000FF"/>
                  <w:sz w:val="20"/>
                  <w:u w:val="single"/>
                </w:rPr>
                <w:t>Certification pursuant to Section 906 of the Sarbanes-Oxley Act of 2002</w:t>
              </w:r>
            </w:hyperlink>
          </w:p>
        </w:tc>
      </w:tr>
      <w:tr>
        <w:trPr/>
        <w:tc>
          <w:tcPr>
            <w:tcW w:w="752" w:type="dxa"/>
            <w:tcBorders/>
            <w:vAlign w:val="center"/>
          </w:tcPr>
          <w:p>
            <w:pPr>
              <w:pStyle w:val="TableContents"/>
              <w:bidi w:val="0"/>
              <w:spacing w:before="0" w:after="283"/>
              <w:jc w:val="left"/>
              <w:rPr/>
            </w:pPr>
            <w:r>
              <w:rPr/>
              <w:t> </w:t>
            </w:r>
          </w:p>
        </w:tc>
        <w:tc>
          <w:tcPr>
            <w:tcW w:w="9453" w:type="dxa"/>
            <w:gridSpan w:val="2"/>
            <w:tcBorders/>
            <w:vAlign w:val="center"/>
          </w:tcPr>
          <w:p>
            <w:pPr>
              <w:pStyle w:val="TableContents"/>
              <w:bidi w:val="0"/>
              <w:spacing w:before="0" w:after="283"/>
              <w:jc w:val="left"/>
              <w:rPr/>
            </w:pPr>
            <w:r>
              <w:rPr/>
              <w:t> </w:t>
            </w:r>
          </w:p>
        </w:tc>
      </w:tr>
      <w:tr>
        <w:trPr/>
        <w:tc>
          <w:tcPr>
            <w:tcW w:w="752"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32.2</w:t>
            </w:r>
          </w:p>
        </w:tc>
        <w:tc>
          <w:tcPr>
            <w:tcW w:w="146" w:type="dxa"/>
            <w:tcBorders/>
            <w:vAlign w:val="center"/>
          </w:tcPr>
          <w:p>
            <w:pPr>
              <w:pStyle w:val="TableContents"/>
              <w:bidi w:val="0"/>
              <w:spacing w:before="0" w:after="283"/>
              <w:jc w:val="left"/>
              <w:rPr/>
            </w:pPr>
            <w:r>
              <w:rPr/>
              <w:t> </w:t>
            </w:r>
          </w:p>
        </w:tc>
        <w:tc>
          <w:tcPr>
            <w:tcW w:w="9307" w:type="dxa"/>
            <w:tcBorders/>
            <w:vAlign w:val="center"/>
          </w:tcPr>
          <w:p>
            <w:pPr>
              <w:pStyle w:val="TableContents"/>
              <w:bidi w:val="0"/>
              <w:spacing w:before="0" w:after="283"/>
              <w:jc w:val="left"/>
              <w:rPr/>
            </w:pPr>
            <w:hyperlink w:anchor="dnow-ex32_2.htm">
              <w:r>
                <w:rPr>
                  <w:rStyle w:val="InternetLink"/>
                  <w:rFonts w:ascii="Times New Roman" w:hAnsi="Times New Roman"/>
                  <w:b w:val="false"/>
                  <w:color w:val="0000FF"/>
                  <w:sz w:val="20"/>
                  <w:u w:val="single"/>
                </w:rPr>
                <w:t>Certification pursuant to Section 906 of the Sarbanes-Oxley Act of 2002</w:t>
              </w:r>
            </w:hyperlink>
          </w:p>
        </w:tc>
      </w:tr>
      <w:tr>
        <w:trPr/>
        <w:tc>
          <w:tcPr>
            <w:tcW w:w="752" w:type="dxa"/>
            <w:tcBorders/>
            <w:vAlign w:val="center"/>
          </w:tcPr>
          <w:p>
            <w:pPr>
              <w:pStyle w:val="TableContents"/>
              <w:bidi w:val="0"/>
              <w:spacing w:before="0" w:after="283"/>
              <w:jc w:val="left"/>
              <w:rPr/>
            </w:pPr>
            <w:r>
              <w:rPr/>
              <w:t> </w:t>
            </w:r>
          </w:p>
        </w:tc>
        <w:tc>
          <w:tcPr>
            <w:tcW w:w="9453" w:type="dxa"/>
            <w:gridSpan w:val="2"/>
            <w:tcBorders/>
            <w:vAlign w:val="center"/>
          </w:tcPr>
          <w:p>
            <w:pPr>
              <w:pStyle w:val="TableContents"/>
              <w:bidi w:val="0"/>
              <w:spacing w:before="0" w:after="283"/>
              <w:jc w:val="left"/>
              <w:rPr/>
            </w:pPr>
            <w:r>
              <w:rPr/>
              <w:t> </w:t>
            </w:r>
          </w:p>
        </w:tc>
      </w:tr>
      <w:tr>
        <w:trPr/>
        <w:tc>
          <w:tcPr>
            <w:tcW w:w="752"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101.INS</w:t>
            </w:r>
          </w:p>
        </w:tc>
        <w:tc>
          <w:tcPr>
            <w:tcW w:w="146" w:type="dxa"/>
            <w:tcBorders/>
            <w:vAlign w:val="center"/>
          </w:tcPr>
          <w:p>
            <w:pPr>
              <w:pStyle w:val="TableContents"/>
              <w:bidi w:val="0"/>
              <w:spacing w:before="0" w:after="283"/>
              <w:jc w:val="left"/>
              <w:rPr/>
            </w:pPr>
            <w:r>
              <w:rPr/>
              <w:t> </w:t>
            </w:r>
          </w:p>
        </w:tc>
        <w:tc>
          <w:tcPr>
            <w:tcW w:w="9307"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Instance Document – The instance document does not appear in the interactive data file because its XBRL tags are embedded within the Inline XBRL document</w:t>
            </w:r>
          </w:p>
        </w:tc>
      </w:tr>
      <w:tr>
        <w:trPr/>
        <w:tc>
          <w:tcPr>
            <w:tcW w:w="75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07" w:type="dxa"/>
            <w:tcBorders/>
            <w:vAlign w:val="center"/>
          </w:tcPr>
          <w:p>
            <w:pPr>
              <w:pStyle w:val="TableContents"/>
              <w:bidi w:val="0"/>
              <w:spacing w:before="0" w:after="283"/>
              <w:jc w:val="left"/>
              <w:rPr/>
            </w:pPr>
            <w:r>
              <w:rPr/>
              <w:t> </w:t>
            </w:r>
          </w:p>
        </w:tc>
      </w:tr>
      <w:tr>
        <w:trPr/>
        <w:tc>
          <w:tcPr>
            <w:tcW w:w="752"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101.SCH</w:t>
            </w:r>
          </w:p>
        </w:tc>
        <w:tc>
          <w:tcPr>
            <w:tcW w:w="146" w:type="dxa"/>
            <w:tcBorders/>
            <w:vAlign w:val="center"/>
          </w:tcPr>
          <w:p>
            <w:pPr>
              <w:pStyle w:val="TableContents"/>
              <w:bidi w:val="0"/>
              <w:spacing w:before="0" w:after="283"/>
              <w:jc w:val="left"/>
              <w:rPr/>
            </w:pPr>
            <w:r>
              <w:rPr/>
              <w:t> </w:t>
            </w:r>
          </w:p>
        </w:tc>
        <w:tc>
          <w:tcPr>
            <w:tcW w:w="9307"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Schema Document</w:t>
            </w:r>
          </w:p>
        </w:tc>
      </w:tr>
      <w:tr>
        <w:trPr/>
        <w:tc>
          <w:tcPr>
            <w:tcW w:w="75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07" w:type="dxa"/>
            <w:tcBorders/>
            <w:vAlign w:val="center"/>
          </w:tcPr>
          <w:p>
            <w:pPr>
              <w:pStyle w:val="TableContents"/>
              <w:bidi w:val="0"/>
              <w:spacing w:before="0" w:after="283"/>
              <w:jc w:val="left"/>
              <w:rPr/>
            </w:pPr>
            <w:r>
              <w:rPr/>
              <w:t> </w:t>
            </w:r>
          </w:p>
        </w:tc>
      </w:tr>
      <w:tr>
        <w:trPr/>
        <w:tc>
          <w:tcPr>
            <w:tcW w:w="752"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101.CAL</w:t>
            </w:r>
          </w:p>
        </w:tc>
        <w:tc>
          <w:tcPr>
            <w:tcW w:w="146" w:type="dxa"/>
            <w:tcBorders/>
            <w:vAlign w:val="center"/>
          </w:tcPr>
          <w:p>
            <w:pPr>
              <w:pStyle w:val="TableContents"/>
              <w:bidi w:val="0"/>
              <w:spacing w:before="0" w:after="283"/>
              <w:jc w:val="left"/>
              <w:rPr/>
            </w:pPr>
            <w:r>
              <w:rPr/>
              <w:t> </w:t>
            </w:r>
          </w:p>
        </w:tc>
        <w:tc>
          <w:tcPr>
            <w:tcW w:w="9307"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Calculation Linkbase Document</w:t>
            </w:r>
          </w:p>
        </w:tc>
      </w:tr>
      <w:tr>
        <w:trPr/>
        <w:tc>
          <w:tcPr>
            <w:tcW w:w="75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07" w:type="dxa"/>
            <w:tcBorders/>
            <w:vAlign w:val="center"/>
          </w:tcPr>
          <w:p>
            <w:pPr>
              <w:pStyle w:val="TableContents"/>
              <w:bidi w:val="0"/>
              <w:spacing w:before="0" w:after="283"/>
              <w:jc w:val="left"/>
              <w:rPr/>
            </w:pPr>
            <w:r>
              <w:rPr/>
              <w:t> </w:t>
            </w:r>
          </w:p>
        </w:tc>
      </w:tr>
      <w:tr>
        <w:trPr/>
        <w:tc>
          <w:tcPr>
            <w:tcW w:w="752"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101.DEF</w:t>
            </w:r>
          </w:p>
        </w:tc>
        <w:tc>
          <w:tcPr>
            <w:tcW w:w="146" w:type="dxa"/>
            <w:tcBorders/>
            <w:vAlign w:val="center"/>
          </w:tcPr>
          <w:p>
            <w:pPr>
              <w:pStyle w:val="TableContents"/>
              <w:bidi w:val="0"/>
              <w:spacing w:before="0" w:after="283"/>
              <w:jc w:val="left"/>
              <w:rPr/>
            </w:pPr>
            <w:r>
              <w:rPr/>
              <w:t> </w:t>
            </w:r>
          </w:p>
        </w:tc>
        <w:tc>
          <w:tcPr>
            <w:tcW w:w="9307"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Definition Linkbase Document</w:t>
            </w:r>
          </w:p>
        </w:tc>
      </w:tr>
      <w:tr>
        <w:trPr/>
        <w:tc>
          <w:tcPr>
            <w:tcW w:w="75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07" w:type="dxa"/>
            <w:tcBorders/>
            <w:vAlign w:val="center"/>
          </w:tcPr>
          <w:p>
            <w:pPr>
              <w:pStyle w:val="TableContents"/>
              <w:bidi w:val="0"/>
              <w:spacing w:before="0" w:after="283"/>
              <w:jc w:val="left"/>
              <w:rPr/>
            </w:pPr>
            <w:r>
              <w:rPr/>
              <w:t> </w:t>
            </w:r>
          </w:p>
        </w:tc>
      </w:tr>
      <w:tr>
        <w:trPr/>
        <w:tc>
          <w:tcPr>
            <w:tcW w:w="752"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101.LAB</w:t>
            </w:r>
          </w:p>
        </w:tc>
        <w:tc>
          <w:tcPr>
            <w:tcW w:w="146" w:type="dxa"/>
            <w:tcBorders/>
            <w:vAlign w:val="center"/>
          </w:tcPr>
          <w:p>
            <w:pPr>
              <w:pStyle w:val="TableContents"/>
              <w:bidi w:val="0"/>
              <w:spacing w:before="0" w:after="283"/>
              <w:jc w:val="left"/>
              <w:rPr/>
            </w:pPr>
            <w:r>
              <w:rPr/>
              <w:t> </w:t>
            </w:r>
          </w:p>
        </w:tc>
        <w:tc>
          <w:tcPr>
            <w:tcW w:w="9307"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Label Linkbase Document</w:t>
            </w:r>
          </w:p>
        </w:tc>
      </w:tr>
      <w:tr>
        <w:trPr/>
        <w:tc>
          <w:tcPr>
            <w:tcW w:w="75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07" w:type="dxa"/>
            <w:tcBorders/>
            <w:vAlign w:val="center"/>
          </w:tcPr>
          <w:p>
            <w:pPr>
              <w:pStyle w:val="TableContents"/>
              <w:bidi w:val="0"/>
              <w:spacing w:before="0" w:after="283"/>
              <w:jc w:val="left"/>
              <w:rPr/>
            </w:pPr>
            <w:r>
              <w:rPr/>
              <w:t> </w:t>
            </w:r>
          </w:p>
        </w:tc>
      </w:tr>
      <w:tr>
        <w:trPr/>
        <w:tc>
          <w:tcPr>
            <w:tcW w:w="752"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101.PRE</w:t>
            </w:r>
          </w:p>
        </w:tc>
        <w:tc>
          <w:tcPr>
            <w:tcW w:w="146" w:type="dxa"/>
            <w:tcBorders/>
            <w:vAlign w:val="center"/>
          </w:tcPr>
          <w:p>
            <w:pPr>
              <w:pStyle w:val="TableContents"/>
              <w:bidi w:val="0"/>
              <w:spacing w:before="0" w:after="283"/>
              <w:jc w:val="left"/>
              <w:rPr/>
            </w:pPr>
            <w:r>
              <w:rPr/>
              <w:t> </w:t>
            </w:r>
          </w:p>
        </w:tc>
        <w:tc>
          <w:tcPr>
            <w:tcW w:w="9307"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Presentation Linkbase Document</w:t>
            </w:r>
          </w:p>
        </w:tc>
      </w:tr>
      <w:tr>
        <w:trPr/>
        <w:tc>
          <w:tcPr>
            <w:tcW w:w="75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07" w:type="dxa"/>
            <w:tcBorders/>
            <w:vAlign w:val="center"/>
          </w:tcPr>
          <w:p>
            <w:pPr>
              <w:pStyle w:val="TableContents"/>
              <w:bidi w:val="0"/>
              <w:spacing w:before="0" w:after="283"/>
              <w:jc w:val="left"/>
              <w:rPr/>
            </w:pPr>
            <w:r>
              <w:rPr/>
              <w:t> </w:t>
            </w:r>
          </w:p>
        </w:tc>
      </w:tr>
      <w:tr>
        <w:trPr/>
        <w:tc>
          <w:tcPr>
            <w:tcW w:w="752"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104</w:t>
            </w:r>
          </w:p>
        </w:tc>
        <w:tc>
          <w:tcPr>
            <w:tcW w:w="146" w:type="dxa"/>
            <w:tcBorders/>
            <w:vAlign w:val="center"/>
          </w:tcPr>
          <w:p>
            <w:pPr>
              <w:pStyle w:val="TableContents"/>
              <w:bidi w:val="0"/>
              <w:spacing w:before="0" w:after="283"/>
              <w:jc w:val="left"/>
              <w:rPr/>
            </w:pPr>
            <w:r>
              <w:rPr/>
              <w:t> </w:t>
            </w:r>
          </w:p>
        </w:tc>
        <w:tc>
          <w:tcPr>
            <w:tcW w:w="9307"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val="false"/>
          <w:color w:val="000000"/>
          <w:sz w:val="13"/>
        </w:rPr>
        <w:t>(1)</w:t>
      </w:r>
      <w:r>
        <w:rPr>
          <w:rFonts w:ascii="Times New Roman" w:hAnsi="Times New Roman"/>
          <w:color w:val="000000"/>
          <w:sz w:val="20"/>
        </w:rPr>
        <w:t xml:space="preserve"> </w:t>
      </w:r>
      <w:r>
        <w:rPr>
          <w:rFonts w:ascii="Times New Roman" w:hAnsi="Times New Roman"/>
          <w:b w:val="false"/>
          <w:color w:val="000000"/>
          <w:sz w:val="20"/>
        </w:rPr>
        <w:t>Filed as an Exhibit to our Current Report on Form 8-K filed on May 30, 2014</w:t>
      </w:r>
    </w:p>
    <w:p>
      <w:pPr>
        <w:pStyle w:val="TextBody"/>
        <w:bidi w:val="0"/>
        <w:jc w:val="left"/>
        <w:rPr>
          <w:rFonts w:ascii="Times New Roman" w:hAnsi="Times New Roman"/>
          <w:sz w:val="20"/>
        </w:rPr>
      </w:pPr>
      <w:r>
        <w:rPr>
          <w:rFonts w:ascii="Times New Roman" w:hAnsi="Times New Roman"/>
          <w:b w:val="false"/>
          <w:color w:val="000000"/>
          <w:sz w:val="13"/>
        </w:rPr>
        <w:t>(2)</w:t>
      </w:r>
      <w:r>
        <w:rPr>
          <w:rFonts w:ascii="Times New Roman" w:hAnsi="Times New Roman"/>
          <w:color w:val="000000"/>
          <w:sz w:val="20"/>
        </w:rPr>
        <w:t xml:space="preserve"> </w:t>
      </w:r>
      <w:r>
        <w:rPr>
          <w:rFonts w:ascii="Times New Roman" w:hAnsi="Times New Roman"/>
          <w:b w:val="false"/>
          <w:color w:val="000000"/>
          <w:sz w:val="20"/>
        </w:rPr>
        <w:t>Filed as an Exhibit to our Amendment No.1 to Form 10, as amended, Registration Statement filed on April 8, 2014</w:t>
      </w:r>
    </w:p>
    <w:p>
      <w:pPr>
        <w:pStyle w:val="TextBody"/>
        <w:bidi w:val="0"/>
        <w:jc w:val="left"/>
        <w:rPr>
          <w:rFonts w:ascii="Times New Roman" w:hAnsi="Times New Roman"/>
          <w:sz w:val="20"/>
        </w:rPr>
      </w:pPr>
      <w:r>
        <w:rPr>
          <w:rFonts w:ascii="Times New Roman" w:hAnsi="Times New Roman"/>
          <w:b w:val="false"/>
          <w:color w:val="000000"/>
          <w:sz w:val="13"/>
        </w:rPr>
        <w:t>(3)</w:t>
      </w:r>
      <w:r>
        <w:rPr>
          <w:rFonts w:ascii="Times New Roman" w:hAnsi="Times New Roman"/>
          <w:color w:val="000000"/>
          <w:sz w:val="20"/>
        </w:rPr>
        <w:t xml:space="preserve"> </w:t>
      </w:r>
      <w:r>
        <w:rPr>
          <w:rFonts w:ascii="Times New Roman" w:hAnsi="Times New Roman"/>
          <w:b w:val="false"/>
          <w:color w:val="000000"/>
          <w:sz w:val="20"/>
        </w:rPr>
        <w:t>Filed as an Exhibit to our Quarterly Report on Form 10-Q filed on May 7, 2015</w:t>
      </w:r>
    </w:p>
    <w:p>
      <w:pPr>
        <w:pStyle w:val="TextBody"/>
        <w:bidi w:val="0"/>
        <w:jc w:val="left"/>
        <w:rPr>
          <w:rFonts w:ascii="Times New Roman" w:hAnsi="Times New Roman"/>
          <w:sz w:val="20"/>
        </w:rPr>
      </w:pPr>
      <w:r>
        <w:rPr>
          <w:rFonts w:ascii="Times New Roman" w:hAnsi="Times New Roman"/>
          <w:b w:val="false"/>
          <w:color w:val="000000"/>
          <w:sz w:val="13"/>
        </w:rPr>
        <w:t>(4)</w:t>
      </w:r>
      <w:r>
        <w:rPr>
          <w:rFonts w:ascii="Times New Roman" w:hAnsi="Times New Roman"/>
          <w:color w:val="000000"/>
          <w:sz w:val="20"/>
        </w:rPr>
        <w:t xml:space="preserve"> </w:t>
      </w:r>
      <w:r>
        <w:rPr>
          <w:rFonts w:ascii="Times New Roman" w:hAnsi="Times New Roman"/>
          <w:b w:val="false"/>
          <w:color w:val="000000"/>
          <w:sz w:val="20"/>
        </w:rPr>
        <w:t>Filed as an Exhibit to our Quarterly Report on Form 10-Q filed on November 2, 2016</w:t>
      </w:r>
    </w:p>
    <w:p>
      <w:pPr>
        <w:pStyle w:val="TextBody"/>
        <w:bidi w:val="0"/>
        <w:jc w:val="left"/>
        <w:rPr>
          <w:rFonts w:ascii="Times New Roman" w:hAnsi="Times New Roman"/>
          <w:sz w:val="20"/>
        </w:rPr>
      </w:pPr>
      <w:r>
        <w:rPr>
          <w:rFonts w:ascii="Times New Roman" w:hAnsi="Times New Roman"/>
          <w:b w:val="false"/>
          <w:color w:val="000000"/>
          <w:sz w:val="13"/>
        </w:rPr>
        <w:t>(5)</w:t>
      </w:r>
      <w:r>
        <w:rPr>
          <w:rFonts w:ascii="Times New Roman" w:hAnsi="Times New Roman"/>
          <w:color w:val="000000"/>
          <w:sz w:val="20"/>
        </w:rPr>
        <w:t xml:space="preserve"> </w:t>
      </w:r>
      <w:r>
        <w:rPr>
          <w:rFonts w:ascii="Times New Roman" w:hAnsi="Times New Roman"/>
          <w:b w:val="false"/>
          <w:color w:val="000000"/>
          <w:sz w:val="20"/>
        </w:rPr>
        <w:t>Filed as an Exhibit to our Current Report on Form 8-K filed on May 1, 2018</w:t>
      </w:r>
    </w:p>
    <w:p>
      <w:pPr>
        <w:pStyle w:val="TextBody"/>
        <w:bidi w:val="0"/>
        <w:jc w:val="left"/>
        <w:rPr>
          <w:rFonts w:ascii="Times New Roman" w:hAnsi="Times New Roman"/>
          <w:sz w:val="20"/>
        </w:rPr>
      </w:pPr>
      <w:r>
        <w:rPr>
          <w:rFonts w:ascii="Times New Roman" w:hAnsi="Times New Roman"/>
          <w:b w:val="false"/>
          <w:color w:val="000000"/>
          <w:sz w:val="13"/>
        </w:rPr>
        <w:t>(6)</w:t>
      </w:r>
      <w:r>
        <w:rPr>
          <w:rFonts w:ascii="Times New Roman" w:hAnsi="Times New Roman"/>
          <w:color w:val="000000"/>
          <w:sz w:val="20"/>
        </w:rPr>
        <w:t xml:space="preserve"> </w:t>
      </w:r>
      <w:r>
        <w:rPr>
          <w:rFonts w:ascii="Times New Roman" w:hAnsi="Times New Roman"/>
          <w:b w:val="false"/>
          <w:color w:val="000000"/>
          <w:sz w:val="20"/>
        </w:rPr>
        <w:t>Filed as an Exhibit to our Current Report on Form 8-K filed on May 21, 2020</w:t>
      </w:r>
    </w:p>
    <w:p>
      <w:pPr>
        <w:pStyle w:val="TextBody"/>
        <w:bidi w:val="0"/>
        <w:jc w:val="left"/>
        <w:rPr>
          <w:rFonts w:ascii="Times New Roman" w:hAnsi="Times New Roman"/>
          <w:sz w:val="20"/>
        </w:rPr>
      </w:pPr>
      <w:r>
        <w:rPr>
          <w:rFonts w:ascii="Times New Roman" w:hAnsi="Times New Roman"/>
          <w:b w:val="false"/>
          <w:color w:val="000000"/>
          <w:sz w:val="13"/>
        </w:rPr>
        <w:t>(7)</w:t>
      </w:r>
      <w:r>
        <w:rPr>
          <w:rFonts w:ascii="Times New Roman" w:hAnsi="Times New Roman"/>
          <w:color w:val="000000"/>
          <w:sz w:val="20"/>
        </w:rPr>
        <w:t xml:space="preserve"> </w:t>
      </w:r>
      <w:r>
        <w:rPr>
          <w:rFonts w:ascii="Times New Roman" w:hAnsi="Times New Roman"/>
          <w:b w:val="false"/>
          <w:color w:val="000000"/>
          <w:sz w:val="20"/>
        </w:rPr>
        <w:t>Filed as an Exhibit to our Current Report on Form 8-K filed on June 2, 2020</w:t>
      </w:r>
    </w:p>
    <w:p>
      <w:pPr>
        <w:pStyle w:val="TextBody"/>
        <w:bidi w:val="0"/>
        <w:jc w:val="left"/>
        <w:rPr>
          <w:rFonts w:ascii="Times New Roman" w:hAnsi="Times New Roman"/>
          <w:sz w:val="20"/>
        </w:rPr>
      </w:pPr>
      <w:r>
        <w:rPr>
          <w:rFonts w:ascii="Times New Roman" w:hAnsi="Times New Roman"/>
          <w:b w:val="false"/>
          <w:color w:val="000000"/>
          <w:sz w:val="13"/>
        </w:rPr>
        <w:t>(8)</w:t>
      </w:r>
      <w:r>
        <w:rPr>
          <w:rFonts w:ascii="Times New Roman" w:hAnsi="Times New Roman"/>
          <w:color w:val="000000"/>
          <w:sz w:val="20"/>
        </w:rPr>
        <w:t xml:space="preserve"> </w:t>
      </w:r>
      <w:r>
        <w:rPr>
          <w:rFonts w:ascii="Times New Roman" w:hAnsi="Times New Roman"/>
          <w:b w:val="false"/>
          <w:color w:val="000000"/>
          <w:sz w:val="20"/>
        </w:rPr>
        <w:t>Filed as an Exhibit to our Current Report on Form 8-K/A filed on February 4, 2022</w:t>
      </w:r>
    </w:p>
    <w:p>
      <w:pPr>
        <w:pStyle w:val="TextBody"/>
        <w:bidi w:val="0"/>
        <w:jc w:val="left"/>
        <w:rPr>
          <w:rFonts w:ascii="Times New Roman" w:hAnsi="Times New Roman"/>
          <w:sz w:val="20"/>
        </w:rPr>
      </w:pPr>
      <w:r>
        <w:rPr>
          <w:rFonts w:ascii="Times New Roman" w:hAnsi="Times New Roman"/>
          <w:b w:val="false"/>
          <w:color w:val="000000"/>
          <w:sz w:val="13"/>
        </w:rPr>
        <w:t>(9)</w:t>
      </w:r>
      <w:r>
        <w:rPr>
          <w:rFonts w:ascii="Times New Roman" w:hAnsi="Times New Roman"/>
          <w:color w:val="000000"/>
          <w:sz w:val="20"/>
        </w:rPr>
        <w:t xml:space="preserve"> </w:t>
      </w:r>
      <w:r>
        <w:rPr>
          <w:rFonts w:ascii="Times New Roman" w:hAnsi="Times New Roman"/>
          <w:b w:val="false"/>
          <w:color w:val="000000"/>
          <w:sz w:val="20"/>
        </w:rPr>
        <w:t>Filed as an Exhibit to our Current Report on Form 8-K filed on January 3, 2023</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27</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4301" w:type="dxa"/>
        <w:jc w:val="left"/>
        <w:tblInd w:w="0" w:type="dxa"/>
        <w:tblLayout w:type="fixed"/>
        <w:tblCellMar>
          <w:top w:w="28" w:type="dxa"/>
          <w:left w:w="28" w:type="dxa"/>
          <w:bottom w:w="28" w:type="dxa"/>
          <w:right w:w="28" w:type="dxa"/>
        </w:tblCellMar>
      </w:tblPr>
      <w:tblGrid>
        <w:gridCol w:w="161"/>
        <w:gridCol w:w="610"/>
        <w:gridCol w:w="3530"/>
      </w:tblGrid>
      <w:tr>
        <w:trPr/>
        <w:tc>
          <w:tcPr>
            <w:tcW w:w="161"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530"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tcMar>
              <w:top w:w="0" w:type="dxa"/>
              <w:left w:w="0" w:type="dxa"/>
              <w:bottom w:w="0" w:type="dxa"/>
              <w:right w:w="0" w:type="dxa"/>
            </w:tcMar>
            <w:vAlign w:val="center"/>
          </w:tcPr>
          <w:p>
            <w:pPr>
              <w:pStyle w:val="TableContents"/>
              <w:bidi w:val="0"/>
              <w:spacing w:before="0" w:after="283"/>
              <w:jc w:val="right"/>
              <w:rPr/>
            </w:pPr>
            <w:r>
              <w:rPr/>
              <w:t> </w:t>
            </w:r>
          </w:p>
        </w:tc>
        <w:tc>
          <w:tcPr>
            <w:tcW w:w="353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val="false"/>
                <w:color w:val="000000"/>
                <w:sz w:val="20"/>
              </w:rPr>
              <w:t>Date: November 2, 2023</w:t>
            </w:r>
            <w:r>
              <w:rPr>
                <w:rFonts w:ascii="Times New Roman" w:hAnsi="Times New Roman"/>
                <w:color w:val="000000"/>
                <w:sz w:val="20"/>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tcMar>
              <w:top w:w="0" w:type="dxa"/>
              <w:left w:w="0" w:type="dxa"/>
              <w:bottom w:w="0" w:type="dxa"/>
              <w:right w:w="0" w:type="dxa"/>
            </w:tcMar>
            <w:vAlign w:val="center"/>
          </w:tcPr>
          <w:p>
            <w:pPr>
              <w:pStyle w:val="TableContents"/>
              <w:bidi w:val="0"/>
              <w:spacing w:before="0" w:after="283"/>
              <w:jc w:val="right"/>
              <w:rPr/>
            </w:pPr>
            <w:r>
              <w:rPr/>
              <w:t> </w:t>
            </w:r>
          </w:p>
        </w:tc>
        <w:tc>
          <w:tcPr>
            <w:tcW w:w="3530"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i/>
                <w:color w:val="000000"/>
                <w:sz w:val="20"/>
              </w:rPr>
            </w:pPr>
            <w:r>
              <w:rPr>
                <w:rFonts w:ascii="Times New Roman" w:hAnsi="Times New Roman"/>
                <w:b w:val="false"/>
                <w:i/>
                <w:color w:val="000000"/>
                <w:sz w:val="20"/>
              </w:rPr>
              <w:t>By:</w:t>
            </w:r>
          </w:p>
        </w:tc>
        <w:tc>
          <w:tcPr>
            <w:tcW w:w="3530"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b w:val="false"/>
                <w:i/>
                <w:color w:val="000000"/>
                <w:sz w:val="20"/>
              </w:rPr>
            </w:pPr>
            <w:r>
              <w:rPr>
                <w:rFonts w:ascii="Times New Roman" w:hAnsi="Times New Roman"/>
                <w:b w:val="false"/>
                <w:i/>
                <w:color w:val="000000"/>
                <w:sz w:val="20"/>
              </w:rPr>
              <w:t>/s/ Mark B. Johnson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140"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Mark B. Johnson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140"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Senior Vice President and Chief Financial Officer</w:t>
            </w:r>
          </w:p>
        </w:tc>
      </w:tr>
    </w:tbl>
    <w:p>
      <w:pPr>
        <w:pStyle w:val="TextBody"/>
        <w:bidi w:val="0"/>
        <w:jc w:val="center"/>
        <w:rPr>
          <w:rFonts w:ascii="Times New Roman" w:hAnsi="Times New Roman"/>
          <w:b w:val="false"/>
          <w:color w:val="000000"/>
          <w:sz w:val="20"/>
        </w:rPr>
      </w:pPr>
      <w:r>
        <w:rPr>
          <w:rFonts w:ascii="Times New Roman" w:hAnsi="Times New Roman"/>
          <w:b w:val="false"/>
          <w:color w:val="000000"/>
          <w:sz w:val="20"/>
        </w:rPr>
        <w:t>28</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17" w:name="dnow-ex31_1.htm"/>
      <w:bookmarkStart w:id="18" w:name="ksdnowex31_1"/>
      <w:bookmarkEnd w:id="17"/>
      <w:bookmarkEnd w:id="1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 David A. Cherechinsky, certify that: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1. I have reviewed this quarterly report on Form 10-Q of NOW Inc.;</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Designed such disclosure controls and procedures, or caused such disclosure controls and procedures to be designed under our supervision, to ensure that material information relating to the registrant, including its combined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5. 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3748" w:type="dxa"/>
        <w:jc w:val="left"/>
        <w:tblInd w:w="0" w:type="dxa"/>
        <w:tblLayout w:type="fixed"/>
        <w:tblCellMar>
          <w:top w:w="28" w:type="dxa"/>
          <w:left w:w="28" w:type="dxa"/>
          <w:bottom w:w="28" w:type="dxa"/>
          <w:right w:w="28" w:type="dxa"/>
        </w:tblCellMar>
      </w:tblPr>
      <w:tblGrid>
        <w:gridCol w:w="391"/>
        <w:gridCol w:w="146"/>
        <w:gridCol w:w="3211"/>
      </w:tblGrid>
      <w:tr>
        <w:trPr/>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3748" w:type="dxa"/>
            <w:gridSpan w:val="3"/>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2, 2023</w:t>
            </w:r>
          </w:p>
        </w:tc>
      </w:tr>
      <w:tr>
        <w:trPr/>
        <w:tc>
          <w:tcPr>
            <w:tcW w:w="3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11" w:type="dxa"/>
            <w:tcBorders/>
            <w:vAlign w:val="center"/>
          </w:tcPr>
          <w:p>
            <w:pPr>
              <w:pStyle w:val="TableContents"/>
              <w:bidi w:val="0"/>
              <w:spacing w:before="0" w:after="283"/>
              <w:jc w:val="left"/>
              <w:rPr/>
            </w:pPr>
            <w:r>
              <w:rPr/>
              <w:t> </w:t>
            </w:r>
          </w:p>
        </w:tc>
      </w:tr>
      <w:tr>
        <w:trPr/>
        <w:tc>
          <w:tcPr>
            <w:tcW w:w="391" w:type="dxa"/>
            <w:tcBorders/>
            <w:vAlign w:val="center"/>
          </w:tcPr>
          <w:p>
            <w:pPr>
              <w:pStyle w:val="TableContents"/>
              <w:bidi w:val="0"/>
              <w:spacing w:before="0" w:after="283"/>
              <w:jc w:val="left"/>
              <w:rPr>
                <w:rFonts w:ascii="Times New Roman" w:hAnsi="Times New Roman"/>
                <w:b w:val="false"/>
                <w:i/>
                <w:color w:val="000000"/>
                <w:sz w:val="20"/>
              </w:rPr>
            </w:pPr>
            <w:r>
              <w:rPr>
                <w:rFonts w:ascii="Times New Roman" w:hAnsi="Times New Roman"/>
                <w:b w:val="false"/>
                <w:i/>
                <w:color w:val="000000"/>
                <w:sz w:val="20"/>
              </w:rPr>
              <w:t>By:</w:t>
            </w:r>
          </w:p>
        </w:tc>
        <w:tc>
          <w:tcPr>
            <w:tcW w:w="146" w:type="dxa"/>
            <w:tcBorders/>
            <w:vAlign w:val="center"/>
          </w:tcPr>
          <w:p>
            <w:pPr>
              <w:pStyle w:val="TableContents"/>
              <w:bidi w:val="0"/>
              <w:spacing w:before="0" w:after="283"/>
              <w:jc w:val="left"/>
              <w:rPr/>
            </w:pPr>
            <w:r>
              <w:rPr/>
              <w:t> </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i/>
                <w:color w:val="000000"/>
                <w:sz w:val="20"/>
              </w:rPr>
            </w:pPr>
            <w:r>
              <w:rPr>
                <w:rFonts w:ascii="Times New Roman" w:hAnsi="Times New Roman"/>
                <w:b w:val="false"/>
                <w:i/>
                <w:color w:val="000000"/>
                <w:sz w:val="20"/>
              </w:rPr>
              <w:t>/s/ David A. Cherechinsky</w:t>
            </w:r>
          </w:p>
        </w:tc>
      </w:tr>
      <w:tr>
        <w:trPr/>
        <w:tc>
          <w:tcPr>
            <w:tcW w:w="3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1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David A. Cherechinsky</w:t>
            </w:r>
          </w:p>
        </w:tc>
      </w:tr>
      <w:tr>
        <w:trPr/>
        <w:tc>
          <w:tcPr>
            <w:tcW w:w="3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1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President and Chief Executive Officer</w:t>
            </w:r>
          </w:p>
        </w:tc>
      </w:tr>
    </w:tbl>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19" w:name="dnow-ex31_2.htm"/>
      <w:bookmarkStart w:id="20" w:name="ksdnowex31_2"/>
      <w:bookmarkEnd w:id="19"/>
      <w:bookmarkEnd w:id="2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 Mark B. Johnson, certify that: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1. I have reviewed this quarterly report on Form 10-Q of NOW Inc.;</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Designed such disclosure controls and procedures, or caused such disclosure controls and procedures to be designed under our supervision, to ensure that material information relating to the registrant, including its combined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5. 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678" w:type="dxa"/>
        <w:jc w:val="left"/>
        <w:tblInd w:w="0" w:type="dxa"/>
        <w:tblLayout w:type="fixed"/>
        <w:tblCellMar>
          <w:top w:w="28" w:type="dxa"/>
          <w:left w:w="28" w:type="dxa"/>
          <w:bottom w:w="28" w:type="dxa"/>
          <w:right w:w="28" w:type="dxa"/>
        </w:tblCellMar>
      </w:tblPr>
      <w:tblGrid>
        <w:gridCol w:w="391"/>
        <w:gridCol w:w="146"/>
        <w:gridCol w:w="4141"/>
      </w:tblGrid>
      <w:tr>
        <w:trPr/>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4678" w:type="dxa"/>
            <w:gridSpan w:val="3"/>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2, 2023</w:t>
            </w:r>
          </w:p>
        </w:tc>
      </w:tr>
      <w:tr>
        <w:trPr/>
        <w:tc>
          <w:tcPr>
            <w:tcW w:w="3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141" w:type="dxa"/>
            <w:tcBorders/>
            <w:vAlign w:val="center"/>
          </w:tcPr>
          <w:p>
            <w:pPr>
              <w:pStyle w:val="TableContents"/>
              <w:bidi w:val="0"/>
              <w:spacing w:before="0" w:after="283"/>
              <w:jc w:val="left"/>
              <w:rPr/>
            </w:pPr>
            <w:r>
              <w:rPr/>
              <w:t> </w:t>
            </w:r>
          </w:p>
        </w:tc>
      </w:tr>
      <w:tr>
        <w:trPr/>
        <w:tc>
          <w:tcPr>
            <w:tcW w:w="391" w:type="dxa"/>
            <w:tcBorders/>
            <w:vAlign w:val="center"/>
          </w:tcPr>
          <w:p>
            <w:pPr>
              <w:pStyle w:val="TableContents"/>
              <w:bidi w:val="0"/>
              <w:spacing w:before="0" w:after="283"/>
              <w:jc w:val="left"/>
              <w:rPr>
                <w:rFonts w:ascii="Times New Roman" w:hAnsi="Times New Roman"/>
                <w:b w:val="false"/>
                <w:i/>
                <w:color w:val="000000"/>
                <w:sz w:val="20"/>
              </w:rPr>
            </w:pPr>
            <w:r>
              <w:rPr>
                <w:rFonts w:ascii="Times New Roman" w:hAnsi="Times New Roman"/>
                <w:b w:val="false"/>
                <w:i/>
                <w:color w:val="000000"/>
                <w:sz w:val="20"/>
              </w:rPr>
              <w:t>By:</w:t>
            </w:r>
          </w:p>
        </w:tc>
        <w:tc>
          <w:tcPr>
            <w:tcW w:w="146" w:type="dxa"/>
            <w:tcBorders/>
            <w:vAlign w:val="center"/>
          </w:tcPr>
          <w:p>
            <w:pPr>
              <w:pStyle w:val="TableContents"/>
              <w:bidi w:val="0"/>
              <w:spacing w:before="0" w:after="283"/>
              <w:jc w:val="left"/>
              <w:rPr/>
            </w:pPr>
            <w:r>
              <w:rPr/>
              <w:t> </w:t>
            </w:r>
          </w:p>
        </w:tc>
        <w:tc>
          <w:tcPr>
            <w:tcW w:w="41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i/>
                <w:color w:val="000000"/>
                <w:sz w:val="20"/>
              </w:rPr>
            </w:pPr>
            <w:r>
              <w:rPr>
                <w:rFonts w:ascii="Times New Roman" w:hAnsi="Times New Roman"/>
                <w:b w:val="false"/>
                <w:i/>
                <w:color w:val="000000"/>
                <w:sz w:val="20"/>
              </w:rPr>
              <w:t>/s/ Mark B. Johnson</w:t>
            </w:r>
          </w:p>
        </w:tc>
      </w:tr>
      <w:tr>
        <w:trPr/>
        <w:tc>
          <w:tcPr>
            <w:tcW w:w="3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14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Mark B. Johnson</w:t>
            </w:r>
          </w:p>
        </w:tc>
      </w:tr>
      <w:tr>
        <w:trPr/>
        <w:tc>
          <w:tcPr>
            <w:tcW w:w="3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14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Senior Vice President and Chief Financial Officer</w:t>
            </w:r>
          </w:p>
        </w:tc>
      </w:tr>
    </w:tbl>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1" w:name="dnow-ex32_1.htm"/>
      <w:bookmarkStart w:id="22" w:name="ksdnowex32_1"/>
      <w:bookmarkEnd w:id="21"/>
      <w:bookmarkEnd w:id="2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 SECTION 906 OF THE SARBANES-OXLEY ACT OF 2002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connection with the Quarterly Report of NOW Inc. (the “Company”) on Form 10-Q for the period ending September 30, 2023 as filed with the Securities and Exchange Commission on the date hereof (the “Report”), the undersigned, David A. Cherechinsky, President and Chief Executive Officer of the Company, hereby certifies, pursuant to 18 U.S.C. Section 1350, as adopted pursuant to Section 906 of the Sarbanes-Oxley Act of 2002, that: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 The Report fully complies with the requirements of Section 13(a) or 15(d) of the Securities Exchange Act of 1934;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(ii) The information contained in the Report fairly presents, in all material respects, the financial condition and results of operations of the Company.</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certification is given to the knowledge of the undersigned.</w:t>
      </w:r>
    </w:p>
    <w:p>
      <w:pPr>
        <w:pStyle w:val="TextBody"/>
        <w:bidi w:val="0"/>
        <w:jc w:val="left"/>
        <w:rPr/>
      </w:pPr>
      <w:r>
        <w:rPr/>
        <w:t> </w:t>
      </w:r>
    </w:p>
    <w:tbl>
      <w:tblPr>
        <w:tblW w:w="3748" w:type="dxa"/>
        <w:jc w:val="left"/>
        <w:tblInd w:w="0" w:type="dxa"/>
        <w:tblLayout w:type="fixed"/>
        <w:tblCellMar>
          <w:top w:w="28" w:type="dxa"/>
          <w:left w:w="28" w:type="dxa"/>
          <w:bottom w:w="28" w:type="dxa"/>
          <w:right w:w="28" w:type="dxa"/>
        </w:tblCellMar>
      </w:tblPr>
      <w:tblGrid>
        <w:gridCol w:w="391"/>
        <w:gridCol w:w="146"/>
        <w:gridCol w:w="3211"/>
      </w:tblGrid>
      <w:tr>
        <w:trPr/>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3748" w:type="dxa"/>
            <w:gridSpan w:val="3"/>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2, 2023</w:t>
            </w:r>
          </w:p>
        </w:tc>
      </w:tr>
      <w:tr>
        <w:trPr/>
        <w:tc>
          <w:tcPr>
            <w:tcW w:w="3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11" w:type="dxa"/>
            <w:tcBorders/>
            <w:vAlign w:val="center"/>
          </w:tcPr>
          <w:p>
            <w:pPr>
              <w:pStyle w:val="TableContents"/>
              <w:bidi w:val="0"/>
              <w:spacing w:before="0" w:after="283"/>
              <w:jc w:val="left"/>
              <w:rPr/>
            </w:pPr>
            <w:r>
              <w:rPr/>
              <w:t> </w:t>
            </w:r>
          </w:p>
        </w:tc>
      </w:tr>
      <w:tr>
        <w:trPr/>
        <w:tc>
          <w:tcPr>
            <w:tcW w:w="391" w:type="dxa"/>
            <w:tcBorders/>
            <w:vAlign w:val="center"/>
          </w:tcPr>
          <w:p>
            <w:pPr>
              <w:pStyle w:val="TableContents"/>
              <w:bidi w:val="0"/>
              <w:spacing w:before="0" w:after="283"/>
              <w:jc w:val="left"/>
              <w:rPr>
                <w:rFonts w:ascii="Times New Roman" w:hAnsi="Times New Roman"/>
                <w:b w:val="false"/>
                <w:i/>
                <w:color w:val="000000"/>
                <w:sz w:val="20"/>
              </w:rPr>
            </w:pPr>
            <w:r>
              <w:rPr>
                <w:rFonts w:ascii="Times New Roman" w:hAnsi="Times New Roman"/>
                <w:b w:val="false"/>
                <w:i/>
                <w:color w:val="000000"/>
                <w:sz w:val="20"/>
              </w:rPr>
              <w:t>By:</w:t>
            </w:r>
          </w:p>
        </w:tc>
        <w:tc>
          <w:tcPr>
            <w:tcW w:w="146" w:type="dxa"/>
            <w:tcBorders/>
            <w:vAlign w:val="center"/>
          </w:tcPr>
          <w:p>
            <w:pPr>
              <w:pStyle w:val="TableContents"/>
              <w:bidi w:val="0"/>
              <w:spacing w:before="0" w:after="283"/>
              <w:jc w:val="left"/>
              <w:rPr/>
            </w:pPr>
            <w:r>
              <w:rPr/>
              <w:t> </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i/>
                <w:color w:val="000000"/>
                <w:sz w:val="20"/>
              </w:rPr>
            </w:pPr>
            <w:r>
              <w:rPr>
                <w:rFonts w:ascii="Times New Roman" w:hAnsi="Times New Roman"/>
                <w:b w:val="false"/>
                <w:i/>
                <w:color w:val="000000"/>
                <w:sz w:val="20"/>
              </w:rPr>
              <w:t>/s/ David A. Cherechinsky</w:t>
            </w:r>
          </w:p>
        </w:tc>
      </w:tr>
      <w:tr>
        <w:trPr/>
        <w:tc>
          <w:tcPr>
            <w:tcW w:w="3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1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David A. Cherechinsky</w:t>
            </w:r>
          </w:p>
        </w:tc>
      </w:tr>
      <w:tr>
        <w:trPr/>
        <w:tc>
          <w:tcPr>
            <w:tcW w:w="3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21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President and Chief Executive Officer</w:t>
            </w:r>
          </w:p>
        </w:tc>
      </w:tr>
    </w:tbl>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dnow-ex32_2.htm"/>
      <w:bookmarkStart w:id="24" w:name="ksdnowex32_2"/>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 SECTION 906 OF THE SARBANES-OXLEY ACT OF 2002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connection with the Quarterly Report of NOW Inc. (the “Company”) on Form 10-Q for the period ending September 30, 2023 as filed with the Securities and Exchange Commission on the date hereof (the “Report”), the undersigned, Mark B. Johnson, Senior Vice President and Chief Financial Officer of the Company, hereby certifies, pursuant to 18 U.S.C. Section 1350, as adopted pursuant to Section 906 of the Sarbanes-Oxley Act of 2002, that: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 The Report fully complies with the requirements of Section 13(a) or 15(d) of the Securities Exchange Act of 1934;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(ii) The information contained in the Report fairly presents, in all material respects, the financial condition and results of operations of the Company.</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certification is given to the knowledge of the undersigned.</w:t>
      </w:r>
    </w:p>
    <w:p>
      <w:pPr>
        <w:pStyle w:val="TextBody"/>
        <w:bidi w:val="0"/>
        <w:jc w:val="left"/>
        <w:rPr/>
      </w:pPr>
      <w:r>
        <w:rPr/>
        <w:t> </w:t>
      </w:r>
    </w:p>
    <w:tbl>
      <w:tblPr>
        <w:tblW w:w="4678" w:type="dxa"/>
        <w:jc w:val="left"/>
        <w:tblInd w:w="0" w:type="dxa"/>
        <w:tblLayout w:type="fixed"/>
        <w:tblCellMar>
          <w:top w:w="28" w:type="dxa"/>
          <w:left w:w="28" w:type="dxa"/>
          <w:bottom w:w="28" w:type="dxa"/>
          <w:right w:w="28" w:type="dxa"/>
        </w:tblCellMar>
      </w:tblPr>
      <w:tblGrid>
        <w:gridCol w:w="391"/>
        <w:gridCol w:w="146"/>
        <w:gridCol w:w="4141"/>
      </w:tblGrid>
      <w:tr>
        <w:trPr/>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4678" w:type="dxa"/>
            <w:gridSpan w:val="3"/>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2, 2023</w:t>
            </w:r>
          </w:p>
        </w:tc>
      </w:tr>
      <w:tr>
        <w:trPr/>
        <w:tc>
          <w:tcPr>
            <w:tcW w:w="3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141" w:type="dxa"/>
            <w:tcBorders/>
            <w:vAlign w:val="center"/>
          </w:tcPr>
          <w:p>
            <w:pPr>
              <w:pStyle w:val="TableContents"/>
              <w:bidi w:val="0"/>
              <w:spacing w:before="0" w:after="283"/>
              <w:jc w:val="left"/>
              <w:rPr/>
            </w:pPr>
            <w:r>
              <w:rPr/>
              <w:t> </w:t>
            </w:r>
          </w:p>
        </w:tc>
      </w:tr>
      <w:tr>
        <w:trPr/>
        <w:tc>
          <w:tcPr>
            <w:tcW w:w="391" w:type="dxa"/>
            <w:tcBorders/>
            <w:vAlign w:val="center"/>
          </w:tcPr>
          <w:p>
            <w:pPr>
              <w:pStyle w:val="TableContents"/>
              <w:bidi w:val="0"/>
              <w:spacing w:before="0" w:after="283"/>
              <w:jc w:val="left"/>
              <w:rPr>
                <w:rFonts w:ascii="Times New Roman" w:hAnsi="Times New Roman"/>
                <w:b w:val="false"/>
                <w:i/>
                <w:color w:val="000000"/>
                <w:sz w:val="20"/>
              </w:rPr>
            </w:pPr>
            <w:r>
              <w:rPr>
                <w:rFonts w:ascii="Times New Roman" w:hAnsi="Times New Roman"/>
                <w:b w:val="false"/>
                <w:i/>
                <w:color w:val="000000"/>
                <w:sz w:val="20"/>
              </w:rPr>
              <w:t>By:</w:t>
            </w:r>
          </w:p>
        </w:tc>
        <w:tc>
          <w:tcPr>
            <w:tcW w:w="146" w:type="dxa"/>
            <w:tcBorders/>
            <w:vAlign w:val="center"/>
          </w:tcPr>
          <w:p>
            <w:pPr>
              <w:pStyle w:val="TableContents"/>
              <w:bidi w:val="0"/>
              <w:spacing w:before="0" w:after="283"/>
              <w:jc w:val="left"/>
              <w:rPr/>
            </w:pPr>
            <w:r>
              <w:rPr/>
              <w:t> </w:t>
            </w:r>
          </w:p>
        </w:tc>
        <w:tc>
          <w:tcPr>
            <w:tcW w:w="41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i/>
                <w:color w:val="000000"/>
                <w:sz w:val="20"/>
              </w:rPr>
            </w:pPr>
            <w:r>
              <w:rPr>
                <w:rFonts w:ascii="Times New Roman" w:hAnsi="Times New Roman"/>
                <w:b w:val="false"/>
                <w:i/>
                <w:color w:val="000000"/>
                <w:sz w:val="20"/>
              </w:rPr>
              <w:t>/s/ Mark B. Johnson</w:t>
            </w:r>
          </w:p>
        </w:tc>
      </w:tr>
      <w:tr>
        <w:trPr/>
        <w:tc>
          <w:tcPr>
            <w:tcW w:w="3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14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Mark. B. Johnson</w:t>
            </w:r>
          </w:p>
        </w:tc>
      </w:tr>
      <w:tr>
        <w:trPr/>
        <w:tc>
          <w:tcPr>
            <w:tcW w:w="3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14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Senior Vice President and Chief Financial Officer</w:t>
            </w:r>
          </w:p>
        </w:tc>
      </w:tr>
    </w:tbl>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599617/000119312520148698/d934174dex31.htm" TargetMode="External"/><Relationship Id="rId4" Type="http://schemas.openxmlformats.org/officeDocument/2006/relationships/hyperlink" Target="https://www.sec.gov/Archives/edgar/data/1599617/000119312520148698/d934174dex31.htm" TargetMode="External"/><Relationship Id="rId5" Type="http://schemas.openxmlformats.org/officeDocument/2006/relationships/hyperlink" Target="https://www.sec.gov/Archives/edgar/data/1599617/000119312520148698/d934174dex32.htm" TargetMode="External"/><Relationship Id="rId6" Type="http://schemas.openxmlformats.org/officeDocument/2006/relationships/hyperlink" Target="https://www.sec.gov/Archives/edgar/data/1599617/000119312520148698/d934174dex32.htm" TargetMode="External"/><Relationship Id="rId7" Type="http://schemas.openxmlformats.org/officeDocument/2006/relationships/hyperlink" Target="https://www.sec.gov/Archives/edgar/data/1599617/000119312514220143/d735822dex106.htm" TargetMode="External"/><Relationship Id="rId8" Type="http://schemas.openxmlformats.org/officeDocument/2006/relationships/hyperlink" Target="https://www.sec.gov/Archives/edgar/data/1599617/000119312514220143/d735822dex106.htm" TargetMode="External"/><Relationship Id="rId9" Type="http://schemas.openxmlformats.org/officeDocument/2006/relationships/hyperlink" Target="https://www.sec.gov/Archives/edgar/data/1599617/000119312514135601/d638375dex106.htm" TargetMode="External"/><Relationship Id="rId10" Type="http://schemas.openxmlformats.org/officeDocument/2006/relationships/hyperlink" Target="https://www.sec.gov/Archives/edgar/data/1599617/000119312514135601/d638375dex106.htm" TargetMode="External"/><Relationship Id="rId11" Type="http://schemas.openxmlformats.org/officeDocument/2006/relationships/hyperlink" Target="https://www.sec.gov/Archives/edgar/data/1599617/000156459015003508/dnow-ex1011_20150331103.htm" TargetMode="External"/><Relationship Id="rId12" Type="http://schemas.openxmlformats.org/officeDocument/2006/relationships/hyperlink" Target="https://www.sec.gov/Archives/edgar/data/1599617/000156459015003508/dnow-ex1011_20150331103.htm" TargetMode="External"/><Relationship Id="rId13" Type="http://schemas.openxmlformats.org/officeDocument/2006/relationships/hyperlink" Target="https://www.sec.gov/Archives/edgar/data/1599617/000156459015003508/dnow-ex1012_20150331104.htm" TargetMode="External"/><Relationship Id="rId14" Type="http://schemas.openxmlformats.org/officeDocument/2006/relationships/hyperlink" Target="https://www.sec.gov/Archives/edgar/data/1599617/000156459015003508/dnow-ex1012_20150331104.htm" TargetMode="External"/><Relationship Id="rId15" Type="http://schemas.openxmlformats.org/officeDocument/2006/relationships/hyperlink" Target="https://www.sec.gov/Archives/edgar/data/1599617/000156459015003508/dnow-ex1013_20150331105.htm" TargetMode="External"/><Relationship Id="rId16" Type="http://schemas.openxmlformats.org/officeDocument/2006/relationships/hyperlink" Target="https://www.sec.gov/Archives/edgar/data/1599617/000156459015003508/dnow-ex1013_20150331105.htm" TargetMode="External"/><Relationship Id="rId17" Type="http://schemas.openxmlformats.org/officeDocument/2006/relationships/hyperlink" Target="https://www.sec.gov/Archives/edgar/data/1599617/000156459016026862/dnow-ex1015_316.htm" TargetMode="External"/><Relationship Id="rId18" Type="http://schemas.openxmlformats.org/officeDocument/2006/relationships/hyperlink" Target="https://www.sec.gov/Archives/edgar/data/1599617/000156459016026862/dnow-ex1015_316.htm" TargetMode="External"/><Relationship Id="rId19" Type="http://schemas.openxmlformats.org/officeDocument/2006/relationships/hyperlink" Target="https://www.sec.gov/Archives/edgar/data/1599617/000119312518144057/d576044dex101.htm" TargetMode="External"/><Relationship Id="rId20" Type="http://schemas.openxmlformats.org/officeDocument/2006/relationships/hyperlink" Target="https://www.sec.gov/Archives/edgar/data/1599617/000119312518144057/d576044dex101.htm" TargetMode="External"/><Relationship Id="rId21" Type="http://schemas.openxmlformats.org/officeDocument/2006/relationships/hyperlink" Target="https://www.sec.gov/Archives/edgar/data/1599617/000119312520158490/d908415dex101.htm" TargetMode="External"/><Relationship Id="rId22" Type="http://schemas.openxmlformats.org/officeDocument/2006/relationships/hyperlink" Target="https://www.sec.gov/Archives/edgar/data/1599617/000119312520158490/d908415dex101.htm" TargetMode="External"/><Relationship Id="rId23" Type="http://schemas.openxmlformats.org/officeDocument/2006/relationships/hyperlink" Target="https://www.sec.gov/Archives/edgar/data/1599617/000119312520158490/d908415dex102.htm" TargetMode="External"/><Relationship Id="rId24" Type="http://schemas.openxmlformats.org/officeDocument/2006/relationships/hyperlink" Target="https://www.sec.gov/Archives/edgar/data/1599617/000119312520158490/d908415dex102.htm" TargetMode="External"/><Relationship Id="rId25" Type="http://schemas.openxmlformats.org/officeDocument/2006/relationships/hyperlink" Target="https://www.sec.gov/Archives/edgar/data/1599617/000119312522028356/d102637dex101.htm" TargetMode="External"/><Relationship Id="rId26" Type="http://schemas.openxmlformats.org/officeDocument/2006/relationships/hyperlink" Target="https://www.sec.gov/Archives/edgar/data/1599617/000119312522028356/d102637dex101.htm" TargetMode="External"/><Relationship Id="rId27" Type="http://schemas.openxmlformats.org/officeDocument/2006/relationships/hyperlink" Target="https://www.sec.gov/Archives/edgar/data/1599617/000119312523000306/d407158dex101.htm" TargetMode="External"/><Relationship Id="rId28" Type="http://schemas.openxmlformats.org/officeDocument/2006/relationships/hyperlink" Target="https://www.sec.gov/Archives/edgar/data/1599617/000119312523000306/d407158dex101.htm" TargetMode="External"/><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14315</Words>
  <Characters>78690</Characters>
  <CharactersWithSpaces>93960</CharactersWithSpaces>
  <Paragraphs>4220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