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DNOW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784860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158750</wp:posOffset>
            </wp:positionV>
            <wp:extent cx="1440180" cy="402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001-36325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46-4191184</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7402 North Eldridge Parkway</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77041</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281-823-4700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DNOW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25, 2026, Board member Rodney Eads notified DNOW Inc. (the “Company”) of his intention not to stand for reelection to the Company’s Board of Directors at the upcoming 2026 annual meeting of stockholders. Mr. Eads will therefore be stepping off the Board at the expiration of his current term on the date of the Company’s upcoming 2026 annual meeting of stockholders. Mr. Eads is not stepping down due to any disagreement with the Company or any of its affiliates on any matter relating to the Company’s operations, policies or practices.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Board of Directors thank Mr. Eads for his dedicated service to the Company.</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7"/>
          <w:szCs w:val="17"/>
          <w:color w:val="auto"/>
        </w:rPr>
        <w:t>DNOW INC.</w:t>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Raymond W.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Raymond W. Chang</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 &amp; General Counsel</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2026-02-27T16:29:44Z</dcterms:created>
  <dcterms:modified xsi:type="dcterms:W3CDTF">2026-02-27T16:29:44Z</dcterms:modified>
</cp:coreProperties>
</file>